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0A" w:rsidRDefault="00C90391">
      <w:pPr>
        <w:pStyle w:val="BlackStrips"/>
      </w:pPr>
      <w:r>
        <w:t xml:space="preserve">Charltons - </w:t>
      </w:r>
      <w:r>
        <w:t>香港法律</w:t>
      </w:r>
      <w:r>
        <w:t xml:space="preserve"> - 2025</w:t>
      </w:r>
      <w:r>
        <w:t>年</w:t>
      </w:r>
      <w:r>
        <w:t>1</w:t>
      </w:r>
      <w:r>
        <w:t>月</w:t>
      </w:r>
      <w:r>
        <w:t>17</w:t>
      </w:r>
      <w:r>
        <w:t>日</w:t>
      </w:r>
    </w:p>
    <w:p w:rsidR="005C190A" w:rsidRDefault="00C90391">
      <w:pPr>
        <w:pStyle w:val="ReadOnline"/>
        <w:rPr>
          <w:lang w:eastAsia="zh-CN"/>
        </w:rPr>
      </w:pPr>
      <w:hyperlink r:id="rId7">
        <w:r>
          <w:rPr>
            <w:lang w:eastAsia="zh-CN"/>
          </w:rPr>
          <w:t>online version</w:t>
        </w:r>
      </w:hyperlink>
    </w:p>
    <w:p w:rsidR="005C190A" w:rsidRDefault="00C90391">
      <w:pPr>
        <w:pStyle w:val="Title"/>
        <w:rPr>
          <w:lang w:eastAsia="zh-CN"/>
        </w:rPr>
      </w:pPr>
      <w:r>
        <w:rPr>
          <w:lang w:eastAsia="zh-CN"/>
        </w:rPr>
        <w:t>香港行政长官</w:t>
      </w:r>
      <w:r>
        <w:rPr>
          <w:lang w:eastAsia="zh-CN"/>
        </w:rPr>
        <w:t>2024</w:t>
      </w:r>
      <w:r>
        <w:rPr>
          <w:lang w:eastAsia="zh-CN"/>
        </w:rPr>
        <w:t>年香港施政报告</w:t>
      </w:r>
      <w:r>
        <w:rPr>
          <w:lang w:eastAsia="zh-CN"/>
        </w:rPr>
        <w:t>–</w:t>
      </w:r>
      <w:r>
        <w:rPr>
          <w:lang w:eastAsia="zh-CN"/>
        </w:rPr>
        <w:t>主要业务点</w:t>
      </w:r>
    </w:p>
    <w:p w:rsidR="005C190A" w:rsidRDefault="00C90391">
      <w:pPr>
        <w:pStyle w:val="FirstParagraph"/>
        <w:rPr>
          <w:lang w:eastAsia="zh-CN"/>
        </w:rPr>
      </w:pPr>
      <w:r>
        <w:rPr>
          <w:lang w:eastAsia="zh-CN"/>
        </w:rPr>
        <w:t>香港行政长官李家超于</w:t>
      </w:r>
      <w:r>
        <w:rPr>
          <w:lang w:eastAsia="zh-CN"/>
        </w:rPr>
        <w:t>2024</w:t>
      </w:r>
      <w:r>
        <w:rPr>
          <w:lang w:eastAsia="zh-CN"/>
        </w:rPr>
        <w:t>年</w:t>
      </w:r>
      <w:r>
        <w:rPr>
          <w:lang w:eastAsia="zh-CN"/>
        </w:rPr>
        <w:t>10</w:t>
      </w:r>
      <w:r>
        <w:rPr>
          <w:lang w:eastAsia="zh-CN"/>
        </w:rPr>
        <w:t>月</w:t>
      </w:r>
      <w:r>
        <w:rPr>
          <w:lang w:eastAsia="zh-CN"/>
        </w:rPr>
        <w:t>16</w:t>
      </w:r>
      <w:r>
        <w:rPr>
          <w:lang w:eastAsia="zh-CN"/>
        </w:rPr>
        <w:t>日发表了其第三份</w:t>
      </w:r>
      <w:hyperlink r:id="rId8">
        <w:r>
          <w:rPr>
            <w:lang w:eastAsia="zh-CN"/>
          </w:rPr>
          <w:t>施政报告</w:t>
        </w:r>
      </w:hyperlink>
      <w:r>
        <w:rPr>
          <w:lang w:eastAsia="zh-CN"/>
        </w:rPr>
        <w:t>（</w:t>
      </w:r>
      <w:r>
        <w:rPr>
          <w:lang w:eastAsia="zh-CN"/>
        </w:rPr>
        <w:t>2024</w:t>
      </w:r>
      <w:r>
        <w:rPr>
          <w:lang w:eastAsia="zh-CN"/>
        </w:rPr>
        <w:t>年香港施政报告）《齐改革同发展，惠民生建未来》，内容以香港的竞争力及加强香港可持续经济建设为主轴。同样地，</w:t>
      </w:r>
      <w:r>
        <w:rPr>
          <w:lang w:eastAsia="zh-CN"/>
        </w:rPr>
        <w:t>2024</w:t>
      </w:r>
      <w:r>
        <w:rPr>
          <w:lang w:eastAsia="zh-CN"/>
        </w:rPr>
        <w:t>年</w:t>
      </w:r>
      <w:r>
        <w:rPr>
          <w:lang w:eastAsia="zh-CN"/>
        </w:rPr>
        <w:t>10</w:t>
      </w:r>
      <w:r>
        <w:rPr>
          <w:lang w:eastAsia="zh-CN"/>
        </w:rPr>
        <w:t>月</w:t>
      </w:r>
      <w:r>
        <w:rPr>
          <w:lang w:eastAsia="zh-CN"/>
        </w:rPr>
        <w:t>16</w:t>
      </w:r>
      <w:r>
        <w:rPr>
          <w:lang w:eastAsia="zh-CN"/>
        </w:rPr>
        <w:t>日，香港在加拿大弗雷泽研究所的</w:t>
      </w:r>
      <w:hyperlink r:id="rId9">
        <w:r>
          <w:rPr>
            <w:lang w:eastAsia="zh-CN"/>
          </w:rPr>
          <w:t>《</w:t>
        </w:r>
        <w:r>
          <w:rPr>
            <w:lang w:eastAsia="zh-CN"/>
          </w:rPr>
          <w:t>2024</w:t>
        </w:r>
        <w:r>
          <w:rPr>
            <w:lang w:eastAsia="zh-CN"/>
          </w:rPr>
          <w:t>年世界经济自由年度报告》</w:t>
        </w:r>
      </w:hyperlink>
      <w:r>
        <w:rPr>
          <w:lang w:eastAsia="zh-CN"/>
        </w:rPr>
        <w:t>中位列全球</w:t>
      </w:r>
      <w:r>
        <w:rPr>
          <w:lang w:eastAsia="zh-CN"/>
        </w:rPr>
        <w:t>165</w:t>
      </w:r>
      <w:r>
        <w:rPr>
          <w:lang w:eastAsia="zh-CN"/>
        </w:rPr>
        <w:t>个经济体中最自由的经济体。《</w:t>
      </w:r>
      <w:r>
        <w:rPr>
          <w:lang w:eastAsia="zh-CN"/>
        </w:rPr>
        <w:t>2024</w:t>
      </w:r>
      <w:r>
        <w:rPr>
          <w:lang w:eastAsia="zh-CN"/>
        </w:rPr>
        <w:t>年自由经济报告》中的</w:t>
      </w:r>
      <w:r>
        <w:rPr>
          <w:lang w:eastAsia="zh-CN"/>
        </w:rPr>
        <w:t>5</w:t>
      </w:r>
      <w:r>
        <w:rPr>
          <w:lang w:eastAsia="zh-CN"/>
        </w:rPr>
        <w:t>年评估中，香港在</w:t>
      </w:r>
      <w:r>
        <w:rPr>
          <w:lang w:eastAsia="zh-CN"/>
        </w:rPr>
        <w:t>“</w:t>
      </w:r>
      <w:r>
        <w:rPr>
          <w:lang w:eastAsia="zh-CN"/>
        </w:rPr>
        <w:t>国际贸易自由</w:t>
      </w:r>
      <w:r>
        <w:rPr>
          <w:lang w:eastAsia="zh-CN"/>
        </w:rPr>
        <w:t>”</w:t>
      </w:r>
      <w:r>
        <w:rPr>
          <w:lang w:eastAsia="zh-CN"/>
        </w:rPr>
        <w:t>及</w:t>
      </w:r>
      <w:r>
        <w:rPr>
          <w:lang w:eastAsia="zh-CN"/>
        </w:rPr>
        <w:t>“</w:t>
      </w:r>
      <w:r>
        <w:rPr>
          <w:lang w:eastAsia="zh-CN"/>
        </w:rPr>
        <w:t>监管</w:t>
      </w:r>
      <w:r>
        <w:rPr>
          <w:lang w:eastAsia="zh-CN"/>
        </w:rPr>
        <w:t>”</w:t>
      </w:r>
      <w:r>
        <w:rPr>
          <w:lang w:eastAsia="zh-CN"/>
        </w:rPr>
        <w:t>方面位列首位，在</w:t>
      </w:r>
      <w:r>
        <w:rPr>
          <w:lang w:eastAsia="zh-CN"/>
        </w:rPr>
        <w:t>“</w:t>
      </w:r>
      <w:r>
        <w:rPr>
          <w:lang w:eastAsia="zh-CN"/>
        </w:rPr>
        <w:t>货币稳健</w:t>
      </w:r>
      <w:r>
        <w:rPr>
          <w:lang w:eastAsia="zh-CN"/>
        </w:rPr>
        <w:t>”</w:t>
      </w:r>
      <w:r>
        <w:rPr>
          <w:lang w:eastAsia="zh-CN"/>
        </w:rPr>
        <w:t>方面位列第三。</w:t>
      </w:r>
    </w:p>
    <w:p w:rsidR="005C190A" w:rsidRDefault="00C90391">
      <w:pPr>
        <w:pStyle w:val="BodyText"/>
        <w:rPr>
          <w:lang w:eastAsia="zh-CN"/>
        </w:rPr>
      </w:pPr>
      <w:r>
        <w:rPr>
          <w:lang w:eastAsia="zh-CN"/>
        </w:rPr>
        <w:t>简而言之，</w:t>
      </w:r>
      <w:r>
        <w:rPr>
          <w:lang w:eastAsia="zh-CN"/>
        </w:rPr>
        <w:t>2024</w:t>
      </w:r>
      <w:r>
        <w:rPr>
          <w:lang w:eastAsia="zh-CN"/>
        </w:rPr>
        <w:t>年香港施政报告包括的内容如下：</w:t>
      </w:r>
    </w:p>
    <w:p w:rsidR="005C190A" w:rsidRPr="00C4675D" w:rsidRDefault="00C90391">
      <w:pPr>
        <w:pStyle w:val="BodyText"/>
        <w:rPr>
          <w:b/>
        </w:rPr>
      </w:pPr>
      <w:r w:rsidRPr="00C4675D">
        <w:rPr>
          <w:b/>
        </w:rPr>
        <w:t>香港证券市场</w:t>
      </w:r>
    </w:p>
    <w:p w:rsidR="005C190A" w:rsidRDefault="00C90391">
      <w:pPr>
        <w:pStyle w:val="Compact"/>
        <w:numPr>
          <w:ilvl w:val="0"/>
          <w:numId w:val="3"/>
        </w:numPr>
        <w:rPr>
          <w:lang w:eastAsia="zh-CN"/>
        </w:rPr>
      </w:pPr>
      <w:r>
        <w:rPr>
          <w:lang w:eastAsia="zh-CN"/>
        </w:rPr>
        <w:t>将追踪香港股票指数的交易所买卖基金（</w:t>
      </w:r>
      <w:r>
        <w:rPr>
          <w:b/>
          <w:lang w:eastAsia="zh-CN"/>
        </w:rPr>
        <w:t>ETF</w:t>
      </w:r>
      <w:r>
        <w:rPr>
          <w:lang w:eastAsia="zh-CN"/>
        </w:rPr>
        <w:t>）引入中东。</w:t>
      </w:r>
    </w:p>
    <w:p w:rsidR="005C190A" w:rsidRDefault="00C90391">
      <w:pPr>
        <w:pStyle w:val="Compact"/>
        <w:numPr>
          <w:ilvl w:val="0"/>
          <w:numId w:val="3"/>
        </w:numPr>
        <w:rPr>
          <w:lang w:eastAsia="zh-CN"/>
        </w:rPr>
      </w:pPr>
      <w:r>
        <w:rPr>
          <w:lang w:eastAsia="zh-CN"/>
        </w:rPr>
        <w:t>推动内地大型企业赴港上市，优化香港与内地金融市场的「互联互通」。</w:t>
      </w:r>
    </w:p>
    <w:p w:rsidR="005C190A" w:rsidRDefault="00C90391">
      <w:pPr>
        <w:pStyle w:val="Compact"/>
        <w:numPr>
          <w:ilvl w:val="0"/>
          <w:numId w:val="3"/>
        </w:numPr>
        <w:rPr>
          <w:lang w:eastAsia="zh-CN"/>
        </w:rPr>
      </w:pPr>
      <w:r>
        <w:rPr>
          <w:lang w:eastAsia="zh-CN"/>
        </w:rPr>
        <w:t>提升市场效率及降低交易成本。</w:t>
      </w:r>
    </w:p>
    <w:p w:rsidR="005C190A" w:rsidRDefault="00C90391">
      <w:pPr>
        <w:pStyle w:val="Compact"/>
        <w:numPr>
          <w:ilvl w:val="0"/>
          <w:numId w:val="3"/>
        </w:numPr>
        <w:rPr>
          <w:lang w:eastAsia="zh-CN"/>
        </w:rPr>
      </w:pPr>
      <w:r>
        <w:rPr>
          <w:lang w:eastAsia="zh-CN"/>
        </w:rPr>
        <w:t>证券及期货事务监察委员会（</w:t>
      </w:r>
      <w:r>
        <w:rPr>
          <w:b/>
          <w:lang w:eastAsia="zh-CN"/>
        </w:rPr>
        <w:t>证监会</w:t>
      </w:r>
      <w:r>
        <w:rPr>
          <w:lang w:eastAsia="zh-CN"/>
        </w:rPr>
        <w:t>）和香港</w:t>
      </w:r>
      <w:r>
        <w:rPr>
          <w:lang w:eastAsia="zh-CN"/>
        </w:rPr>
        <w:t>联合交易有限公司（</w:t>
      </w:r>
      <w:r>
        <w:rPr>
          <w:b/>
          <w:lang w:eastAsia="zh-CN"/>
        </w:rPr>
        <w:t>港交所</w:t>
      </w:r>
      <w:r>
        <w:rPr>
          <w:lang w:eastAsia="zh-CN"/>
        </w:rPr>
        <w:t>）将引入新措施加速公司申请在港交所上市的批核流程。</w:t>
      </w:r>
    </w:p>
    <w:p w:rsidR="005C190A" w:rsidRPr="00C4675D" w:rsidRDefault="00C90391">
      <w:pPr>
        <w:pStyle w:val="FirstParagraph"/>
        <w:rPr>
          <w:b/>
          <w:lang w:eastAsia="zh-CN"/>
        </w:rPr>
      </w:pPr>
      <w:r w:rsidRPr="00C4675D">
        <w:rPr>
          <w:b/>
          <w:lang w:eastAsia="zh-CN"/>
        </w:rPr>
        <w:t>香港的金融科技创新生态圈</w:t>
      </w:r>
    </w:p>
    <w:p w:rsidR="005C190A" w:rsidRDefault="00C90391">
      <w:pPr>
        <w:pStyle w:val="Compact"/>
        <w:numPr>
          <w:ilvl w:val="0"/>
          <w:numId w:val="4"/>
        </w:numPr>
        <w:rPr>
          <w:lang w:eastAsia="zh-CN"/>
        </w:rPr>
      </w:pPr>
      <w:r>
        <w:rPr>
          <w:lang w:eastAsia="zh-CN"/>
        </w:rPr>
        <w:t>香港政府会继续推动央行数码货币、移动支付、虚拟银行、虚拟保险及虚拟资产交易等创新金融服务。</w:t>
      </w:r>
    </w:p>
    <w:p w:rsidR="005C190A" w:rsidRDefault="00C90391">
      <w:pPr>
        <w:pStyle w:val="Compact"/>
        <w:numPr>
          <w:ilvl w:val="0"/>
          <w:numId w:val="4"/>
        </w:numPr>
        <w:rPr>
          <w:lang w:eastAsia="zh-CN"/>
        </w:rPr>
      </w:pPr>
      <w:r>
        <w:rPr>
          <w:lang w:eastAsia="zh-CN"/>
        </w:rPr>
        <w:t>财库局会就金融市场应用人工智能发表政策宣言。</w:t>
      </w:r>
    </w:p>
    <w:p w:rsidR="005C190A" w:rsidRDefault="00C90391">
      <w:pPr>
        <w:pStyle w:val="Compact"/>
        <w:numPr>
          <w:ilvl w:val="0"/>
          <w:numId w:val="4"/>
        </w:numPr>
        <w:rPr>
          <w:lang w:eastAsia="zh-CN"/>
        </w:rPr>
      </w:pPr>
      <w:r>
        <w:rPr>
          <w:lang w:eastAsia="zh-CN"/>
        </w:rPr>
        <w:t>推动以央行数码货币（</w:t>
      </w:r>
      <w:r>
        <w:rPr>
          <w:b/>
          <w:lang w:eastAsia="zh-CN"/>
        </w:rPr>
        <w:t>CBDC</w:t>
      </w:r>
      <w:r>
        <w:rPr>
          <w:lang w:eastAsia="zh-CN"/>
        </w:rPr>
        <w:t>）跨境支付应用</w:t>
      </w:r>
      <w:r>
        <w:rPr>
          <w:lang w:eastAsia="zh-CN"/>
        </w:rPr>
        <w:t>–</w:t>
      </w:r>
      <w:r>
        <w:rPr>
          <w:lang w:eastAsia="zh-CN"/>
        </w:rPr>
        <w:t>金管局正积极在「多种央行数码货币跨境网络」（</w:t>
      </w:r>
      <w:r>
        <w:rPr>
          <w:b/>
          <w:lang w:eastAsia="zh-CN"/>
        </w:rPr>
        <w:t>mBridge</w:t>
      </w:r>
      <w:r>
        <w:rPr>
          <w:lang w:eastAsia="zh-CN"/>
        </w:rPr>
        <w:t>）上，测试和探索更多与跨境贸易结算相关的技术解决方案及场景，并扩大公私营机构的参与度。</w:t>
      </w:r>
    </w:p>
    <w:p w:rsidR="005C190A" w:rsidRDefault="00C90391">
      <w:pPr>
        <w:pStyle w:val="Compact"/>
        <w:numPr>
          <w:ilvl w:val="0"/>
          <w:numId w:val="4"/>
        </w:numPr>
        <w:rPr>
          <w:lang w:eastAsia="zh-CN"/>
        </w:rPr>
      </w:pPr>
      <w:r>
        <w:rPr>
          <w:lang w:eastAsia="zh-CN"/>
        </w:rPr>
        <w:t>完善虚拟资产交易规管，财库局会：</w:t>
      </w:r>
    </w:p>
    <w:p w:rsidR="005C190A" w:rsidRDefault="00C90391">
      <w:pPr>
        <w:pStyle w:val="Compact"/>
        <w:numPr>
          <w:ilvl w:val="1"/>
          <w:numId w:val="5"/>
        </w:numPr>
        <w:rPr>
          <w:lang w:eastAsia="zh-CN"/>
        </w:rPr>
      </w:pPr>
      <w:r>
        <w:rPr>
          <w:lang w:eastAsia="zh-CN"/>
        </w:rPr>
        <w:t>就虚拟资产场外交易的规管完成第二轮咨询。</w:t>
      </w:r>
    </w:p>
    <w:p w:rsidR="005C190A" w:rsidRDefault="00C90391">
      <w:pPr>
        <w:pStyle w:val="Compact"/>
        <w:numPr>
          <w:ilvl w:val="1"/>
          <w:numId w:val="5"/>
        </w:numPr>
        <w:rPr>
          <w:lang w:eastAsia="zh-CN"/>
        </w:rPr>
      </w:pPr>
      <w:r>
        <w:rPr>
          <w:lang w:eastAsia="zh-CN"/>
        </w:rPr>
        <w:t>提交规</w:t>
      </w:r>
      <w:r>
        <w:rPr>
          <w:lang w:eastAsia="zh-CN"/>
        </w:rPr>
        <w:t>管虚拟资产托管服务提供者的拟议发牌制度。</w:t>
      </w:r>
    </w:p>
    <w:p w:rsidR="005C190A" w:rsidRDefault="00C90391">
      <w:pPr>
        <w:pStyle w:val="Compact"/>
        <w:numPr>
          <w:ilvl w:val="1"/>
          <w:numId w:val="5"/>
        </w:numPr>
        <w:rPr>
          <w:lang w:eastAsia="zh-CN"/>
        </w:rPr>
      </w:pPr>
      <w:r>
        <w:rPr>
          <w:lang w:eastAsia="zh-CN"/>
        </w:rPr>
        <w:t>推动现实世界资产代币化及数码货币生态系统</w:t>
      </w:r>
      <w:r>
        <w:rPr>
          <w:lang w:eastAsia="zh-CN"/>
        </w:rPr>
        <w:t xml:space="preserve"> – </w:t>
      </w:r>
      <w:r>
        <w:rPr>
          <w:lang w:eastAsia="zh-CN"/>
        </w:rPr>
        <w:t>金管局正推动「</w:t>
      </w:r>
      <w:r>
        <w:rPr>
          <w:lang w:eastAsia="zh-CN"/>
        </w:rPr>
        <w:t>Ensemble</w:t>
      </w:r>
      <w:r>
        <w:rPr>
          <w:lang w:eastAsia="zh-CN"/>
        </w:rPr>
        <w:t>」金融市场基建项目，探索现实世界资产代币化的应用，及利用数码货币进行银行同业结算，促进相关资产交易的发展。金管局会继续和不同的司法权区协作，制订传输相关贸易资料的机制，促进跨境数据流动和国际贸易数码化。</w:t>
      </w:r>
    </w:p>
    <w:p w:rsidR="005C190A" w:rsidRDefault="00C90391">
      <w:pPr>
        <w:pStyle w:val="Compact"/>
        <w:numPr>
          <w:ilvl w:val="1"/>
          <w:numId w:val="5"/>
        </w:numPr>
        <w:rPr>
          <w:lang w:eastAsia="zh-CN"/>
        </w:rPr>
      </w:pPr>
      <w:r>
        <w:rPr>
          <w:lang w:eastAsia="zh-CN"/>
        </w:rPr>
        <w:t>金管局已准许潜在发行人透过「稳定币发行人沙盒」测试业务计划合应用场景，并联同财库局</w:t>
      </w:r>
      <w:r>
        <w:rPr>
          <w:lang w:eastAsia="zh-CN"/>
        </w:rPr>
        <w:t>2024</w:t>
      </w:r>
      <w:r>
        <w:rPr>
          <w:lang w:eastAsia="zh-CN"/>
        </w:rPr>
        <w:t>年内提交条例草案，规管法币稳定币发行人。</w:t>
      </w:r>
    </w:p>
    <w:p w:rsidR="005C190A" w:rsidRDefault="00C90391">
      <w:pPr>
        <w:pStyle w:val="Compact"/>
        <w:numPr>
          <w:ilvl w:val="1"/>
          <w:numId w:val="5"/>
        </w:numPr>
        <w:rPr>
          <w:lang w:eastAsia="zh-CN"/>
        </w:rPr>
      </w:pPr>
      <w:r>
        <w:rPr>
          <w:lang w:eastAsia="zh-CN"/>
        </w:rPr>
        <w:t>金管局即将推出「数码债券资助计划」，鼓励更多金融机构及发行</w:t>
      </w:r>
      <w:r>
        <w:rPr>
          <w:lang w:eastAsia="zh-CN"/>
        </w:rPr>
        <w:t>人在资本市场交易中采用代币化技术。</w:t>
      </w:r>
    </w:p>
    <w:p w:rsidR="005C190A" w:rsidRPr="00C4675D" w:rsidRDefault="00C90391">
      <w:pPr>
        <w:pStyle w:val="FirstParagraph"/>
        <w:rPr>
          <w:b/>
          <w:lang w:eastAsia="zh-CN"/>
        </w:rPr>
      </w:pPr>
      <w:r w:rsidRPr="00C4675D">
        <w:rPr>
          <w:b/>
          <w:lang w:eastAsia="zh-CN"/>
        </w:rPr>
        <w:t>《</w:t>
      </w:r>
      <w:r w:rsidRPr="00C4675D">
        <w:rPr>
          <w:b/>
          <w:lang w:eastAsia="zh-CN"/>
        </w:rPr>
        <w:t>2024</w:t>
      </w:r>
      <w:r w:rsidRPr="00C4675D">
        <w:rPr>
          <w:b/>
          <w:lang w:eastAsia="zh-CN"/>
        </w:rPr>
        <w:t>年香港施政报告》下的人民币国际化</w:t>
      </w:r>
    </w:p>
    <w:p w:rsidR="005C190A" w:rsidRDefault="00C90391">
      <w:pPr>
        <w:pStyle w:val="Compact"/>
        <w:numPr>
          <w:ilvl w:val="0"/>
          <w:numId w:val="6"/>
        </w:numPr>
        <w:rPr>
          <w:lang w:eastAsia="zh-CN"/>
        </w:rPr>
      </w:pPr>
      <w:r>
        <w:rPr>
          <w:lang w:eastAsia="zh-CN"/>
        </w:rPr>
        <w:t>提升基础建设，升级债务工具中央结算系统以便利全球范围内的各类资产不同币种的结算。</w:t>
      </w:r>
    </w:p>
    <w:p w:rsidR="005C190A" w:rsidRDefault="00C90391">
      <w:pPr>
        <w:pStyle w:val="Compact"/>
        <w:numPr>
          <w:ilvl w:val="0"/>
          <w:numId w:val="6"/>
        </w:numPr>
        <w:rPr>
          <w:lang w:eastAsia="zh-CN"/>
        </w:rPr>
      </w:pPr>
      <w:r>
        <w:rPr>
          <w:lang w:eastAsia="zh-CN"/>
        </w:rPr>
        <w:t>透过善用香港与内陆的货币互换协议增加离岸人民币流动性。金管局将探讨若干措施，诸如提升香港人民币实时支付清算系统夜间跨境服务能力，便利离岸人民币市场的全球结算，并探讨一系列多元化的离岸人民币融资渠道。</w:t>
      </w:r>
    </w:p>
    <w:p w:rsidR="005C190A" w:rsidRDefault="00C90391">
      <w:pPr>
        <w:pStyle w:val="Compact"/>
        <w:numPr>
          <w:ilvl w:val="0"/>
          <w:numId w:val="6"/>
        </w:numPr>
        <w:rPr>
          <w:lang w:eastAsia="zh-CN"/>
        </w:rPr>
      </w:pPr>
      <w:r>
        <w:rPr>
          <w:lang w:eastAsia="zh-CN"/>
        </w:rPr>
        <w:lastRenderedPageBreak/>
        <w:t>提供额外的以人民币计价的投资产品，诸如扩大人民币债券发行，支持绿色和可持续离岸人民币债券在香港发行。</w:t>
      </w:r>
    </w:p>
    <w:p w:rsidR="005C190A" w:rsidRDefault="00C90391">
      <w:pPr>
        <w:pStyle w:val="Compact"/>
        <w:numPr>
          <w:ilvl w:val="0"/>
          <w:numId w:val="6"/>
        </w:numPr>
        <w:rPr>
          <w:lang w:eastAsia="zh-CN"/>
        </w:rPr>
      </w:pPr>
      <w:r>
        <w:rPr>
          <w:lang w:eastAsia="zh-CN"/>
        </w:rPr>
        <w:t>港交所会鼓励更多上市公司增加其人民币股票交易柜台</w:t>
      </w:r>
      <w:r>
        <w:rPr>
          <w:lang w:eastAsia="zh-CN"/>
        </w:rPr>
        <w:t>，扩大提供人民币计价股票的范围。</w:t>
      </w:r>
    </w:p>
    <w:p w:rsidR="005C190A" w:rsidRPr="00C4675D" w:rsidRDefault="00C90391">
      <w:pPr>
        <w:pStyle w:val="FirstParagraph"/>
        <w:rPr>
          <w:b/>
          <w:lang w:eastAsia="zh-CN"/>
        </w:rPr>
      </w:pPr>
      <w:r w:rsidRPr="00C4675D">
        <w:rPr>
          <w:b/>
          <w:lang w:eastAsia="zh-CN"/>
        </w:rPr>
        <w:t>《</w:t>
      </w:r>
      <w:r w:rsidRPr="00C4675D">
        <w:rPr>
          <w:b/>
          <w:lang w:eastAsia="zh-CN"/>
        </w:rPr>
        <w:t>2024</w:t>
      </w:r>
      <w:r w:rsidRPr="00C4675D">
        <w:rPr>
          <w:b/>
          <w:lang w:eastAsia="zh-CN"/>
        </w:rPr>
        <w:t>年香港施政报告》下香港作为国际金融、航运和贸易中心的地位</w:t>
      </w:r>
    </w:p>
    <w:p w:rsidR="005C190A" w:rsidRDefault="00C90391">
      <w:pPr>
        <w:pStyle w:val="Compact"/>
        <w:numPr>
          <w:ilvl w:val="0"/>
          <w:numId w:val="7"/>
        </w:numPr>
        <w:rPr>
          <w:lang w:eastAsia="zh-CN"/>
        </w:rPr>
      </w:pPr>
      <w:r>
        <w:rPr>
          <w:lang w:eastAsia="zh-CN"/>
        </w:rPr>
        <w:t>建立黄金交易市场，构建黄金仓储设施。香港政府将香港黄金产业的增长视为亦同时会带动抵押和借用等衍生金融服务，由此开创新增长点。</w:t>
      </w:r>
    </w:p>
    <w:p w:rsidR="005C190A" w:rsidRDefault="00C90391">
      <w:pPr>
        <w:pStyle w:val="Compact"/>
        <w:numPr>
          <w:ilvl w:val="0"/>
          <w:numId w:val="7"/>
        </w:numPr>
        <w:rPr>
          <w:lang w:eastAsia="zh-CN"/>
        </w:rPr>
      </w:pPr>
      <w:r>
        <w:rPr>
          <w:lang w:eastAsia="zh-CN"/>
        </w:rPr>
        <w:t>保险业监管局将检阅其风险管理体系，包括研究透过基建投资的资本要求丰富保险公司资产配置以助分散风险，并带动香港北都等基建投资。</w:t>
      </w:r>
    </w:p>
    <w:p w:rsidR="005C190A" w:rsidRDefault="00C90391">
      <w:pPr>
        <w:pStyle w:val="Compact"/>
        <w:numPr>
          <w:ilvl w:val="0"/>
          <w:numId w:val="7"/>
        </w:numPr>
        <w:rPr>
          <w:lang w:eastAsia="zh-CN"/>
        </w:rPr>
      </w:pPr>
      <w:r>
        <w:rPr>
          <w:lang w:eastAsia="zh-CN"/>
        </w:rPr>
        <w:t>优化「新资本投资者入境计划」，立即生效。容许投资住宅物业，惟该物业成交价须为</w:t>
      </w:r>
      <w:r>
        <w:rPr>
          <w:lang w:eastAsia="zh-CN"/>
        </w:rPr>
        <w:t xml:space="preserve"> 5,000 </w:t>
      </w:r>
      <w:r>
        <w:rPr>
          <w:lang w:eastAsia="zh-CN"/>
        </w:rPr>
        <w:t>万元或以上，而投资于房地产获计算入投资总额上限为</w:t>
      </w:r>
      <w:r>
        <w:rPr>
          <w:lang w:eastAsia="zh-CN"/>
        </w:rPr>
        <w:t xml:space="preserve"> 1,000 </w:t>
      </w:r>
      <w:r>
        <w:rPr>
          <w:lang w:eastAsia="zh-CN"/>
        </w:rPr>
        <w:t>万元。另外，明年</w:t>
      </w:r>
      <w:r>
        <w:rPr>
          <w:lang w:eastAsia="zh-CN"/>
        </w:rPr>
        <w:t xml:space="preserve"> 3 </w:t>
      </w:r>
      <w:r>
        <w:rPr>
          <w:lang w:eastAsia="zh-CN"/>
        </w:rPr>
        <w:t>月</w:t>
      </w:r>
      <w:r>
        <w:rPr>
          <w:lang w:eastAsia="zh-CN"/>
        </w:rPr>
        <w:t xml:space="preserve"> 1 </w:t>
      </w:r>
      <w:r>
        <w:rPr>
          <w:lang w:eastAsia="zh-CN"/>
        </w:rPr>
        <w:t>日起，透过申请人全资拥有的合资格私人公司的投资可计入申请人合资格投资金额内。</w:t>
      </w:r>
    </w:p>
    <w:p w:rsidR="005C190A" w:rsidRDefault="00C90391">
      <w:pPr>
        <w:pStyle w:val="Compact"/>
        <w:numPr>
          <w:ilvl w:val="0"/>
          <w:numId w:val="7"/>
        </w:numPr>
        <w:rPr>
          <w:lang w:eastAsia="zh-CN"/>
        </w:rPr>
      </w:pPr>
      <w:r>
        <w:rPr>
          <w:lang w:eastAsia="zh-CN"/>
        </w:rPr>
        <w:t>关于港交所推出国际碳市场（</w:t>
      </w:r>
      <w:r w:rsidR="00C4675D">
        <w:rPr>
          <w:b/>
          <w:lang w:eastAsia="zh-CN"/>
        </w:rPr>
        <w:t xml:space="preserve">Core </w:t>
      </w:r>
      <w:r>
        <w:rPr>
          <w:b/>
          <w:lang w:eastAsia="zh-CN"/>
        </w:rPr>
        <w:t>Climate</w:t>
      </w:r>
      <w:r>
        <w:rPr>
          <w:lang w:eastAsia="zh-CN"/>
        </w:rPr>
        <w:t>），金管局将公告「可持续金融行动计划」，目标是截止</w:t>
      </w:r>
      <w:r>
        <w:rPr>
          <w:lang w:eastAsia="zh-CN"/>
        </w:rPr>
        <w:t>2024</w:t>
      </w:r>
      <w:r>
        <w:rPr>
          <w:lang w:eastAsia="zh-CN"/>
        </w:rPr>
        <w:t>年全面采用国际财务报告可持续披露准则（</w:t>
      </w:r>
      <w:r>
        <w:rPr>
          <w:b/>
          <w:lang w:eastAsia="zh-CN"/>
        </w:rPr>
        <w:t>ISSB</w:t>
      </w:r>
      <w:r>
        <w:rPr>
          <w:b/>
          <w:lang w:eastAsia="zh-CN"/>
        </w:rPr>
        <w:t>准则</w:t>
      </w:r>
      <w:r>
        <w:rPr>
          <w:lang w:eastAsia="zh-CN"/>
        </w:rPr>
        <w:t>）。</w:t>
      </w:r>
    </w:p>
    <w:p w:rsidR="005C190A" w:rsidRDefault="00C90391">
      <w:pPr>
        <w:pStyle w:val="Compact"/>
        <w:numPr>
          <w:ilvl w:val="0"/>
          <w:numId w:val="7"/>
        </w:numPr>
        <w:rPr>
          <w:lang w:eastAsia="zh-CN"/>
        </w:rPr>
      </w:pPr>
      <w:r>
        <w:rPr>
          <w:lang w:eastAsia="zh-CN"/>
        </w:rPr>
        <w:t>推动香港海事行业的发展，措施包括提供提供税务优惠，推动海运服务企业落户香港，以及透过推动</w:t>
      </w:r>
      <w:r>
        <w:rPr>
          <w:lang w:eastAsia="zh-CN"/>
        </w:rPr>
        <w:t>注册船舶绿色化，构建绿色船用燃料加注中心及提供绿色燃料加注的配套加快绿色航运中心建设。香港政府会在</w:t>
      </w:r>
      <w:r>
        <w:rPr>
          <w:lang w:eastAsia="zh-CN"/>
        </w:rPr>
        <w:t>2025</w:t>
      </w:r>
      <w:r>
        <w:rPr>
          <w:lang w:eastAsia="zh-CN"/>
        </w:rPr>
        <w:t>年完成构建港口智慧系统，向相关行业提供实时数据。</w:t>
      </w:r>
    </w:p>
    <w:p w:rsidR="005C190A" w:rsidRDefault="00C90391">
      <w:pPr>
        <w:pStyle w:val="Compact"/>
        <w:numPr>
          <w:ilvl w:val="0"/>
          <w:numId w:val="7"/>
        </w:numPr>
        <w:rPr>
          <w:lang w:eastAsia="zh-CN"/>
        </w:rPr>
      </w:pPr>
      <w:r>
        <w:rPr>
          <w:lang w:eastAsia="zh-CN"/>
        </w:rPr>
        <w:t>将进口价</w:t>
      </w:r>
      <w:r>
        <w:rPr>
          <w:lang w:eastAsia="zh-CN"/>
        </w:rPr>
        <w:t>200</w:t>
      </w:r>
      <w:r>
        <w:rPr>
          <w:lang w:eastAsia="zh-CN"/>
        </w:rPr>
        <w:t>港元以上的进口烈酒（酒精浓度多于</w:t>
      </w:r>
      <w:r w:rsidR="00C4675D">
        <w:rPr>
          <w:lang w:eastAsia="zh-CN"/>
        </w:rPr>
        <w:t>30%</w:t>
      </w:r>
      <w:r>
        <w:rPr>
          <w:lang w:eastAsia="zh-CN"/>
        </w:rPr>
        <w:t>的酒类）的进口税率下调，</w:t>
      </w:r>
      <w:r>
        <w:rPr>
          <w:lang w:eastAsia="zh-CN"/>
        </w:rPr>
        <w:t>200</w:t>
      </w:r>
      <w:r>
        <w:rPr>
          <w:lang w:eastAsia="zh-CN"/>
        </w:rPr>
        <w:t>港元以上部分的税率由</w:t>
      </w:r>
      <w:r>
        <w:rPr>
          <w:lang w:eastAsia="zh-CN"/>
        </w:rPr>
        <w:t>100%</w:t>
      </w:r>
      <w:r>
        <w:rPr>
          <w:lang w:eastAsia="zh-CN"/>
        </w:rPr>
        <w:t>减至</w:t>
      </w:r>
      <w:r>
        <w:rPr>
          <w:lang w:eastAsia="zh-CN"/>
        </w:rPr>
        <w:t>10%</w:t>
      </w:r>
      <w:r>
        <w:rPr>
          <w:lang w:eastAsia="zh-CN"/>
        </w:rPr>
        <w:t>，即刻生效。而进口价在</w:t>
      </w:r>
      <w:r>
        <w:rPr>
          <w:lang w:eastAsia="zh-CN"/>
        </w:rPr>
        <w:t>200</w:t>
      </w:r>
      <w:r>
        <w:rPr>
          <w:lang w:eastAsia="zh-CN"/>
        </w:rPr>
        <w:t>元或以下的烈酒，税率则维持不变。</w:t>
      </w:r>
    </w:p>
    <w:p w:rsidR="005C190A" w:rsidRPr="00C4675D" w:rsidRDefault="00C90391">
      <w:pPr>
        <w:pStyle w:val="FirstParagraph"/>
        <w:rPr>
          <w:b/>
          <w:lang w:eastAsia="zh-CN"/>
        </w:rPr>
      </w:pPr>
      <w:r w:rsidRPr="00C4675D">
        <w:rPr>
          <w:b/>
          <w:lang w:eastAsia="zh-CN"/>
        </w:rPr>
        <w:t>《</w:t>
      </w:r>
      <w:r w:rsidRPr="00C4675D">
        <w:rPr>
          <w:b/>
          <w:lang w:eastAsia="zh-CN"/>
        </w:rPr>
        <w:t>2024</w:t>
      </w:r>
      <w:r w:rsidRPr="00C4675D">
        <w:rPr>
          <w:b/>
          <w:lang w:eastAsia="zh-CN"/>
        </w:rPr>
        <w:t>年香港施政报告》下，旨在成为全球最大的跨境财富管理中心</w:t>
      </w:r>
    </w:p>
    <w:p w:rsidR="005C190A" w:rsidRDefault="00C90391">
      <w:pPr>
        <w:pStyle w:val="Compact"/>
        <w:numPr>
          <w:ilvl w:val="0"/>
          <w:numId w:val="8"/>
        </w:numPr>
        <w:rPr>
          <w:lang w:eastAsia="zh-CN"/>
        </w:rPr>
      </w:pPr>
      <w:r>
        <w:rPr>
          <w:lang w:eastAsia="zh-CN"/>
        </w:rPr>
        <w:t>与中国内地「一带一路」倡议相关地区的主权财富基金合作，并设立基金投资于中国内地及其他地区的资产。</w:t>
      </w:r>
    </w:p>
    <w:p w:rsidR="005C190A" w:rsidRDefault="00C90391">
      <w:pPr>
        <w:pStyle w:val="Compact"/>
        <w:numPr>
          <w:ilvl w:val="0"/>
          <w:numId w:val="8"/>
        </w:numPr>
        <w:rPr>
          <w:lang w:eastAsia="zh-CN"/>
        </w:rPr>
      </w:pPr>
      <w:r>
        <w:rPr>
          <w:lang w:eastAsia="zh-CN"/>
        </w:rPr>
        <w:t>香</w:t>
      </w:r>
      <w:r>
        <w:rPr>
          <w:lang w:eastAsia="zh-CN"/>
        </w:rPr>
        <w:t>港政府将探索途径，为符合条件的基金及单一家族办公室交易提供税务优惠。</w:t>
      </w:r>
    </w:p>
    <w:p w:rsidR="005C190A" w:rsidRPr="00C4675D" w:rsidRDefault="00C90391">
      <w:pPr>
        <w:pStyle w:val="FirstParagraph"/>
        <w:rPr>
          <w:b/>
        </w:rPr>
      </w:pPr>
      <w:r w:rsidRPr="00C4675D">
        <w:rPr>
          <w:b/>
        </w:rPr>
        <w:t>香港中小企业</w:t>
      </w:r>
    </w:p>
    <w:p w:rsidR="005C190A" w:rsidRDefault="00C90391">
      <w:pPr>
        <w:pStyle w:val="Compact"/>
        <w:numPr>
          <w:ilvl w:val="0"/>
          <w:numId w:val="9"/>
        </w:numPr>
      </w:pPr>
      <w:r>
        <w:rPr>
          <w:lang w:eastAsia="zh-CN"/>
        </w:rPr>
        <w:t>HKMC Insurance Limited</w:t>
      </w:r>
      <w:r>
        <w:rPr>
          <w:lang w:eastAsia="zh-CN"/>
        </w:rPr>
        <w:t>推出的</w:t>
      </w:r>
      <w:r>
        <w:rPr>
          <w:lang w:eastAsia="zh-CN"/>
        </w:rPr>
        <w:t xml:space="preserve"> </w:t>
      </w:r>
      <w:r>
        <w:rPr>
          <w:lang w:eastAsia="zh-CN"/>
        </w:rPr>
        <w:t>「中小企融资担保计划」</w:t>
      </w:r>
      <w:r>
        <w:rPr>
          <w:lang w:eastAsia="zh-CN"/>
        </w:rPr>
        <w:t xml:space="preserve"> </w:t>
      </w:r>
      <w:r>
        <w:rPr>
          <w:lang w:eastAsia="zh-CN"/>
        </w:rPr>
        <w:t>下的贷款有资格申请最长</w:t>
      </w:r>
      <w:r>
        <w:rPr>
          <w:lang w:eastAsia="zh-CN"/>
        </w:rPr>
        <w:t xml:space="preserve"> 12 </w:t>
      </w:r>
      <w:r>
        <w:t>个月「还息不还本」，以缓解中小企业面临的财务困境。</w:t>
      </w:r>
    </w:p>
    <w:p w:rsidR="005C190A" w:rsidRDefault="00C90391">
      <w:pPr>
        <w:pStyle w:val="Compact"/>
        <w:numPr>
          <w:ilvl w:val="0"/>
          <w:numId w:val="9"/>
        </w:numPr>
        <w:rPr>
          <w:lang w:eastAsia="zh-CN"/>
        </w:rPr>
      </w:pPr>
      <w:r>
        <w:rPr>
          <w:lang w:eastAsia="zh-CN"/>
        </w:rPr>
        <w:t>向</w:t>
      </w:r>
      <w:r>
        <w:rPr>
          <w:lang w:eastAsia="zh-CN"/>
        </w:rPr>
        <w:t xml:space="preserve"> </w:t>
      </w:r>
      <w:r>
        <w:rPr>
          <w:lang w:eastAsia="zh-CN"/>
        </w:rPr>
        <w:t>「发展品牌、升级转型及拓展内销市场的专项基金（</w:t>
      </w:r>
      <w:r>
        <w:rPr>
          <w:b/>
          <w:lang w:eastAsia="zh-CN"/>
        </w:rPr>
        <w:t xml:space="preserve">BUD </w:t>
      </w:r>
      <w:r>
        <w:rPr>
          <w:b/>
          <w:lang w:eastAsia="zh-CN"/>
        </w:rPr>
        <w:t>专项基金</w:t>
      </w:r>
      <w:r>
        <w:rPr>
          <w:lang w:eastAsia="zh-CN"/>
        </w:rPr>
        <w:t>）」注资</w:t>
      </w:r>
      <w:r>
        <w:rPr>
          <w:lang w:eastAsia="zh-CN"/>
        </w:rPr>
        <w:t xml:space="preserve"> </w:t>
      </w:r>
      <w:r>
        <w:rPr>
          <w:lang w:eastAsia="zh-CN"/>
        </w:rPr>
        <w:t xml:space="preserve">10 </w:t>
      </w:r>
      <w:r>
        <w:rPr>
          <w:lang w:eastAsia="zh-CN"/>
        </w:rPr>
        <w:t>亿港元，使中小企业能够加强业务发展并寻求国际扩张。</w:t>
      </w:r>
    </w:p>
    <w:p w:rsidR="005C190A" w:rsidRDefault="00C90391">
      <w:pPr>
        <w:pStyle w:val="Compact"/>
        <w:numPr>
          <w:ilvl w:val="0"/>
          <w:numId w:val="9"/>
        </w:numPr>
        <w:rPr>
          <w:lang w:eastAsia="zh-CN"/>
        </w:rPr>
      </w:pPr>
      <w:r>
        <w:rPr>
          <w:lang w:eastAsia="zh-CN"/>
        </w:rPr>
        <w:t>香港政府计划通过各种推广活动支持中小企业，旨在加强品牌发展、促进与内地企业的联系，并为中小企业提供参与承办商招标过程提供机会。</w:t>
      </w:r>
    </w:p>
    <w:p w:rsidR="005C190A" w:rsidRPr="00C4675D" w:rsidRDefault="00C90391">
      <w:pPr>
        <w:pStyle w:val="FirstParagraph"/>
        <w:rPr>
          <w:b/>
          <w:lang w:eastAsia="zh-CN"/>
        </w:rPr>
      </w:pPr>
      <w:r w:rsidRPr="00C4675D">
        <w:rPr>
          <w:b/>
          <w:lang w:eastAsia="zh-CN"/>
        </w:rPr>
        <w:t>香港的研究及创新科技（</w:t>
      </w:r>
      <w:r w:rsidRPr="00C4675D">
        <w:rPr>
          <w:b/>
          <w:lang w:eastAsia="zh-CN"/>
        </w:rPr>
        <w:t>I.T.</w:t>
      </w:r>
      <w:r w:rsidRPr="00C4675D">
        <w:rPr>
          <w:b/>
          <w:lang w:eastAsia="zh-CN"/>
        </w:rPr>
        <w:t>）领域</w:t>
      </w:r>
    </w:p>
    <w:p w:rsidR="005C190A" w:rsidRDefault="00C90391">
      <w:pPr>
        <w:pStyle w:val="Compact"/>
        <w:numPr>
          <w:ilvl w:val="0"/>
          <w:numId w:val="10"/>
        </w:numPr>
      </w:pPr>
      <w:r>
        <w:t>为支援香港的</w:t>
      </w:r>
      <w:r>
        <w:t xml:space="preserve"> IT </w:t>
      </w:r>
      <w:r>
        <w:t>领域，香港政府将：</w:t>
      </w:r>
    </w:p>
    <w:p w:rsidR="005C190A" w:rsidRDefault="00C90391">
      <w:pPr>
        <w:pStyle w:val="Compact"/>
        <w:numPr>
          <w:ilvl w:val="1"/>
          <w:numId w:val="11"/>
        </w:numPr>
        <w:rPr>
          <w:lang w:eastAsia="zh-CN"/>
        </w:rPr>
      </w:pPr>
      <w:r>
        <w:rPr>
          <w:lang w:eastAsia="zh-CN"/>
        </w:rPr>
        <w:t>设立</w:t>
      </w:r>
      <w:r>
        <w:rPr>
          <w:lang w:eastAsia="zh-CN"/>
        </w:rPr>
        <w:t>15</w:t>
      </w:r>
      <w:r>
        <w:rPr>
          <w:lang w:eastAsia="zh-CN"/>
        </w:rPr>
        <w:t>亿港元的研究配对资助计划，以支持从事研究的机构。</w:t>
      </w:r>
    </w:p>
    <w:p w:rsidR="005C190A" w:rsidRDefault="00C90391">
      <w:pPr>
        <w:pStyle w:val="Compact"/>
        <w:numPr>
          <w:ilvl w:val="1"/>
          <w:numId w:val="11"/>
        </w:numPr>
        <w:rPr>
          <w:lang w:eastAsia="zh-CN"/>
        </w:rPr>
      </w:pPr>
      <w:r>
        <w:rPr>
          <w:lang w:eastAsia="zh-CN"/>
        </w:rPr>
        <w:t>设立</w:t>
      </w:r>
      <w:r>
        <w:rPr>
          <w:lang w:eastAsia="zh-CN"/>
        </w:rPr>
        <w:t>100</w:t>
      </w:r>
      <w:r>
        <w:rPr>
          <w:lang w:eastAsia="zh-CN"/>
        </w:rPr>
        <w:t>亿港元「创科产业引导基金」，投资于具有战略重要性的特定行业，如生命健康科技、人工智能与机械人技术、半导体与智能设备、先进材料和新能源。</w:t>
      </w:r>
    </w:p>
    <w:p w:rsidR="005C190A" w:rsidRDefault="00C90391">
      <w:pPr>
        <w:pStyle w:val="Compact"/>
        <w:numPr>
          <w:ilvl w:val="1"/>
          <w:numId w:val="11"/>
        </w:numPr>
        <w:rPr>
          <w:lang w:eastAsia="zh-CN"/>
        </w:rPr>
      </w:pPr>
      <w:r>
        <w:rPr>
          <w:lang w:eastAsia="zh-CN"/>
        </w:rPr>
        <w:t>设立</w:t>
      </w:r>
      <w:r>
        <w:rPr>
          <w:lang w:eastAsia="zh-CN"/>
        </w:rPr>
        <w:t>15</w:t>
      </w:r>
      <w:r>
        <w:rPr>
          <w:lang w:eastAsia="zh-CN"/>
        </w:rPr>
        <w:t>亿港元的基金，投资策略性产业的初创企业。</w:t>
      </w:r>
    </w:p>
    <w:p w:rsidR="005C190A" w:rsidRDefault="00C90391">
      <w:pPr>
        <w:pStyle w:val="Compact"/>
        <w:numPr>
          <w:ilvl w:val="1"/>
          <w:numId w:val="11"/>
        </w:numPr>
        <w:rPr>
          <w:lang w:eastAsia="zh-CN"/>
        </w:rPr>
      </w:pPr>
      <w:r>
        <w:rPr>
          <w:lang w:eastAsia="zh-CN"/>
        </w:rPr>
        <w:t>设立一个资金分配为</w:t>
      </w:r>
      <w:r>
        <w:rPr>
          <w:lang w:eastAsia="zh-CN"/>
        </w:rPr>
        <w:t xml:space="preserve">1.8 </w:t>
      </w:r>
      <w:r>
        <w:rPr>
          <w:lang w:eastAsia="zh-CN"/>
        </w:rPr>
        <w:t>亿港元的</w:t>
      </w:r>
      <w:r>
        <w:rPr>
          <w:lang w:eastAsia="zh-CN"/>
        </w:rPr>
        <w:t xml:space="preserve"> </w:t>
      </w:r>
      <w:r>
        <w:rPr>
          <w:lang w:eastAsia="zh-CN"/>
        </w:rPr>
        <w:t>「</w:t>
      </w:r>
      <w:r>
        <w:rPr>
          <w:lang w:eastAsia="zh-CN"/>
        </w:rPr>
        <w:t xml:space="preserve"> </w:t>
      </w:r>
      <w:r>
        <w:rPr>
          <w:lang w:eastAsia="zh-CN"/>
        </w:rPr>
        <w:t>创科加速器先导计</w:t>
      </w:r>
      <w:r>
        <w:rPr>
          <w:lang w:eastAsia="zh-CN"/>
        </w:rPr>
        <w:t>划</w:t>
      </w:r>
      <w:r>
        <w:rPr>
          <w:lang w:eastAsia="zh-CN"/>
        </w:rPr>
        <w:t xml:space="preserve"> </w:t>
      </w:r>
      <w:r>
        <w:rPr>
          <w:lang w:eastAsia="zh-CN"/>
        </w:rPr>
        <w:t>」，以吸引本地和海外的专业初创服务机构在香港设立加速器基地。</w:t>
      </w:r>
    </w:p>
    <w:p w:rsidR="005C190A" w:rsidRPr="00C90391" w:rsidRDefault="00C90391">
      <w:pPr>
        <w:pStyle w:val="FirstParagraph"/>
        <w:rPr>
          <w:b/>
          <w:lang w:eastAsia="zh-CN"/>
        </w:rPr>
      </w:pPr>
      <w:r w:rsidRPr="00C90391">
        <w:rPr>
          <w:b/>
          <w:lang w:eastAsia="zh-CN"/>
        </w:rPr>
        <w:t>香港作为区域国际法律及争议解决服务中心</w:t>
      </w:r>
    </w:p>
    <w:p w:rsidR="005C190A" w:rsidRDefault="00C90391">
      <w:pPr>
        <w:pStyle w:val="Compact"/>
        <w:numPr>
          <w:ilvl w:val="0"/>
          <w:numId w:val="12"/>
        </w:numPr>
        <w:rPr>
          <w:lang w:eastAsia="zh-CN"/>
        </w:rPr>
      </w:pPr>
      <w:r>
        <w:rPr>
          <w:lang w:eastAsia="zh-CN"/>
        </w:rPr>
        <w:t>「香港国际法律人</w:t>
      </w:r>
      <w:r>
        <w:rPr>
          <w:lang w:eastAsia="zh-CN"/>
        </w:rPr>
        <w:t>才培训学院」将于</w:t>
      </w:r>
      <w:r>
        <w:rPr>
          <w:lang w:eastAsia="zh-CN"/>
        </w:rPr>
        <w:t>2024</w:t>
      </w:r>
      <w:r>
        <w:rPr>
          <w:lang w:eastAsia="zh-CN"/>
        </w:rPr>
        <w:t>年成立，在律政司的支持下，旨在培养精通各种法律体系的法律专业人才。</w:t>
      </w:r>
    </w:p>
    <w:p w:rsidR="005C190A" w:rsidRDefault="00C90391">
      <w:pPr>
        <w:pStyle w:val="Compact"/>
        <w:numPr>
          <w:ilvl w:val="0"/>
          <w:numId w:val="12"/>
        </w:numPr>
        <w:rPr>
          <w:lang w:eastAsia="zh-CN"/>
        </w:rPr>
      </w:pPr>
      <w:r>
        <w:rPr>
          <w:lang w:eastAsia="zh-CN"/>
        </w:rPr>
        <w:lastRenderedPageBreak/>
        <w:t>在相关国际公约通过后，国际调解组织将在香港设立总部。香港政府旨在完善本地调解认证及纪律制度，在政府合约中推广调解条款，并鼓励私营机构采用这些条款。此外，还将推出「社区调解先导计划」，以推动调解文化。</w:t>
      </w:r>
    </w:p>
    <w:p w:rsidR="005C190A" w:rsidRDefault="00C90391">
      <w:pPr>
        <w:pStyle w:val="Compact"/>
        <w:numPr>
          <w:ilvl w:val="0"/>
          <w:numId w:val="12"/>
        </w:numPr>
        <w:rPr>
          <w:lang w:eastAsia="zh-CN"/>
        </w:rPr>
      </w:pPr>
      <w:r>
        <w:rPr>
          <w:lang w:eastAsia="zh-CN"/>
        </w:rPr>
        <w:t>将引入体育争议解决制度。</w:t>
      </w:r>
    </w:p>
    <w:p w:rsidR="005C190A" w:rsidRPr="00C90391" w:rsidRDefault="00C90391">
      <w:pPr>
        <w:pStyle w:val="FirstParagraph"/>
        <w:rPr>
          <w:b/>
        </w:rPr>
      </w:pPr>
      <w:r w:rsidRPr="00C90391">
        <w:rPr>
          <w:b/>
        </w:rPr>
        <w:t>低空经济</w:t>
      </w:r>
    </w:p>
    <w:p w:rsidR="005C190A" w:rsidRDefault="00C90391">
      <w:pPr>
        <w:pStyle w:val="Compact"/>
        <w:numPr>
          <w:ilvl w:val="0"/>
          <w:numId w:val="13"/>
        </w:numPr>
        <w:rPr>
          <w:lang w:eastAsia="zh-CN"/>
        </w:rPr>
      </w:pPr>
      <w:r>
        <w:rPr>
          <w:lang w:eastAsia="zh-CN"/>
        </w:rPr>
        <w:t>香港发展低空经济，将专注于</w:t>
      </w:r>
      <w:r>
        <w:rPr>
          <w:lang w:eastAsia="zh-CN"/>
        </w:rPr>
        <w:t xml:space="preserve"> 1000 </w:t>
      </w:r>
      <w:r>
        <w:rPr>
          <w:lang w:eastAsia="zh-CN"/>
        </w:rPr>
        <w:t>米以下空域内的经济活动。香港政府将探索这一低空空域在电信、人工智能和数字产业等领域的经济潜力。将成立一个工作组来实施相关措施，包括制定法规、加强与</w:t>
      </w:r>
      <w:r>
        <w:rPr>
          <w:lang w:eastAsia="zh-CN"/>
        </w:rPr>
        <w:t>中国内地的合作以及发展低空基础设施。</w:t>
      </w:r>
    </w:p>
    <w:p w:rsidR="005C190A" w:rsidRPr="00C90391" w:rsidRDefault="00C90391">
      <w:pPr>
        <w:pStyle w:val="FirstParagraph"/>
        <w:rPr>
          <w:b/>
          <w:lang w:eastAsia="zh-CN"/>
        </w:rPr>
      </w:pPr>
      <w:r w:rsidRPr="00C90391">
        <w:rPr>
          <w:b/>
          <w:lang w:eastAsia="zh-CN"/>
        </w:rPr>
        <w:t>《</w:t>
      </w:r>
      <w:r w:rsidRPr="00C90391">
        <w:rPr>
          <w:b/>
          <w:lang w:eastAsia="zh-CN"/>
        </w:rPr>
        <w:t>2024</w:t>
      </w:r>
      <w:r w:rsidRPr="00C90391">
        <w:rPr>
          <w:b/>
          <w:lang w:eastAsia="zh-CN"/>
        </w:rPr>
        <w:t>年香港施政报告》下的知识产权法例架构</w:t>
      </w:r>
    </w:p>
    <w:p w:rsidR="005C190A" w:rsidRDefault="00C90391">
      <w:pPr>
        <w:pStyle w:val="Compact"/>
        <w:numPr>
          <w:ilvl w:val="0"/>
          <w:numId w:val="14"/>
        </w:numPr>
        <w:rPr>
          <w:lang w:eastAsia="zh-CN"/>
        </w:rPr>
      </w:pPr>
      <w:r>
        <w:rPr>
          <w:lang w:eastAsia="zh-CN"/>
        </w:rPr>
        <w:t>香港政府计划在</w:t>
      </w:r>
      <w:r>
        <w:rPr>
          <w:lang w:eastAsia="zh-CN"/>
        </w:rPr>
        <w:t xml:space="preserve"> 2025 </w:t>
      </w:r>
      <w:r>
        <w:rPr>
          <w:lang w:eastAsia="zh-CN"/>
        </w:rPr>
        <w:t>年强化香港的知识产权立法框架。这包括扩展《版权条例》以保障人工智能技术发展，就注册外观设计制度进行咨询，以及提出修订以简化知识产权诉讼程序以提高效率。</w:t>
      </w:r>
    </w:p>
    <w:p w:rsidR="005C190A" w:rsidRDefault="00C90391">
      <w:pPr>
        <w:pStyle w:val="Compact"/>
        <w:numPr>
          <w:ilvl w:val="0"/>
          <w:numId w:val="14"/>
        </w:numPr>
        <w:rPr>
          <w:lang w:eastAsia="zh-CN"/>
        </w:rPr>
      </w:pPr>
      <w:r>
        <w:rPr>
          <w:lang w:eastAsia="zh-CN"/>
        </w:rPr>
        <w:t>商标注册处将为用户推出一全新人工智能辅助图像检索服务，便利公众检索商标数据库。</w:t>
      </w:r>
    </w:p>
    <w:p w:rsidR="005C190A" w:rsidRPr="00C90391" w:rsidRDefault="00C90391">
      <w:pPr>
        <w:pStyle w:val="FirstParagraph"/>
        <w:rPr>
          <w:b/>
          <w:lang w:eastAsia="zh-CN"/>
        </w:rPr>
      </w:pPr>
      <w:r w:rsidRPr="00C90391">
        <w:rPr>
          <w:b/>
          <w:lang w:eastAsia="zh-CN"/>
        </w:rPr>
        <w:t>《</w:t>
      </w:r>
      <w:r w:rsidRPr="00C90391">
        <w:rPr>
          <w:b/>
          <w:lang w:eastAsia="zh-CN"/>
        </w:rPr>
        <w:t>2024</w:t>
      </w:r>
      <w:r w:rsidRPr="00C90391">
        <w:rPr>
          <w:b/>
          <w:lang w:eastAsia="zh-CN"/>
        </w:rPr>
        <w:t>年香港施政报告》吸引高素质人才来港</w:t>
      </w:r>
    </w:p>
    <w:p w:rsidR="005C190A" w:rsidRDefault="00C90391">
      <w:pPr>
        <w:pStyle w:val="Compact"/>
        <w:numPr>
          <w:ilvl w:val="0"/>
          <w:numId w:val="15"/>
        </w:numPr>
        <w:rPr>
          <w:lang w:eastAsia="zh-CN"/>
        </w:rPr>
      </w:pPr>
      <w:r>
        <w:rPr>
          <w:lang w:eastAsia="zh-CN"/>
        </w:rPr>
        <w:t>将另外</w:t>
      </w:r>
      <w:r>
        <w:rPr>
          <w:lang w:eastAsia="zh-CN"/>
        </w:rPr>
        <w:t xml:space="preserve"> 13 </w:t>
      </w:r>
      <w:r>
        <w:rPr>
          <w:lang w:eastAsia="zh-CN"/>
        </w:rPr>
        <w:t>所大学纳入「高端人才通行证计划」。</w:t>
      </w:r>
    </w:p>
    <w:p w:rsidR="005C190A" w:rsidRDefault="00C90391">
      <w:pPr>
        <w:pStyle w:val="Compact"/>
        <w:numPr>
          <w:ilvl w:val="0"/>
          <w:numId w:val="15"/>
        </w:numPr>
        <w:rPr>
          <w:lang w:eastAsia="zh-CN"/>
        </w:rPr>
      </w:pPr>
      <w:r>
        <w:rPr>
          <w:lang w:eastAsia="zh-CN"/>
        </w:rPr>
        <w:t>通过大湾区校园毕业生来港工作试行安排吸引香港以外的学生来港学习，提供奖学金及其他激励措施。</w:t>
      </w:r>
    </w:p>
    <w:p w:rsidR="005C190A" w:rsidRDefault="00C90391">
      <w:pPr>
        <w:pStyle w:val="Compact"/>
        <w:numPr>
          <w:ilvl w:val="0"/>
          <w:numId w:val="15"/>
        </w:numPr>
        <w:rPr>
          <w:lang w:eastAsia="zh-CN"/>
        </w:rPr>
      </w:pPr>
      <w:r>
        <w:rPr>
          <w:lang w:eastAsia="zh-CN"/>
        </w:rPr>
        <w:t>在即将推出的白表居屋第二市场计划中增加年轻家庭购买居屋的配额数量。</w:t>
      </w:r>
    </w:p>
    <w:p w:rsidR="005C190A" w:rsidRPr="00C90391" w:rsidRDefault="00C90391">
      <w:pPr>
        <w:pStyle w:val="FirstParagraph"/>
        <w:rPr>
          <w:b/>
          <w:lang w:eastAsia="zh-CN"/>
        </w:rPr>
      </w:pPr>
      <w:r w:rsidRPr="00C90391">
        <w:rPr>
          <w:b/>
          <w:lang w:eastAsia="zh-CN"/>
        </w:rPr>
        <w:t>《</w:t>
      </w:r>
      <w:r w:rsidRPr="00C90391">
        <w:rPr>
          <w:b/>
          <w:lang w:eastAsia="zh-CN"/>
        </w:rPr>
        <w:t xml:space="preserve">2024 </w:t>
      </w:r>
      <w:r w:rsidRPr="00C90391">
        <w:rPr>
          <w:b/>
          <w:lang w:eastAsia="zh-CN"/>
        </w:rPr>
        <w:t>年香港施政报告》下的房屋政策</w:t>
      </w:r>
      <w:bookmarkStart w:id="0" w:name="_GoBack"/>
      <w:bookmarkEnd w:id="0"/>
    </w:p>
    <w:p w:rsidR="005C190A" w:rsidRDefault="00C90391">
      <w:pPr>
        <w:pStyle w:val="Compact"/>
        <w:numPr>
          <w:ilvl w:val="0"/>
          <w:numId w:val="16"/>
        </w:numPr>
        <w:rPr>
          <w:lang w:eastAsia="zh-CN"/>
        </w:rPr>
      </w:pPr>
      <w:r>
        <w:rPr>
          <w:lang w:eastAsia="zh-CN"/>
        </w:rPr>
        <w:t>将住宅物业按揭贷款的最高贷款价值比率调整至七成，适用于所有买家。</w:t>
      </w:r>
    </w:p>
    <w:p w:rsidR="005C190A" w:rsidRDefault="00C90391">
      <w:pPr>
        <w:pStyle w:val="Compact"/>
        <w:numPr>
          <w:ilvl w:val="0"/>
          <w:numId w:val="16"/>
        </w:numPr>
        <w:rPr>
          <w:lang w:eastAsia="zh-CN"/>
        </w:rPr>
      </w:pPr>
      <w:r>
        <w:rPr>
          <w:lang w:eastAsia="zh-CN"/>
        </w:rPr>
        <w:t>在未来五年增加公共住房供应至</w:t>
      </w:r>
      <w:r>
        <w:rPr>
          <w:lang w:eastAsia="zh-CN"/>
        </w:rPr>
        <w:t xml:space="preserve"> 18.9 </w:t>
      </w:r>
      <w:r>
        <w:rPr>
          <w:lang w:eastAsia="zh-CN"/>
        </w:rPr>
        <w:t>万个单位。</w:t>
      </w:r>
    </w:p>
    <w:p w:rsidR="005C190A" w:rsidRDefault="00C90391">
      <w:pPr>
        <w:pStyle w:val="Compact"/>
        <w:numPr>
          <w:ilvl w:val="0"/>
          <w:numId w:val="16"/>
        </w:numPr>
        <w:rPr>
          <w:lang w:eastAsia="zh-CN"/>
        </w:rPr>
      </w:pPr>
      <w:r>
        <w:rPr>
          <w:lang w:eastAsia="zh-CN"/>
        </w:rPr>
        <w:t>就规范住宅楼宇分间单位租赁制定监管框架进行立法，纳入规定性要求。</w:t>
      </w:r>
    </w:p>
    <w:p w:rsidR="005C190A" w:rsidRDefault="00C90391">
      <w:pPr>
        <w:pStyle w:val="DisclaimerBold"/>
        <w:rPr>
          <w:lang w:eastAsia="zh-CN"/>
        </w:rPr>
      </w:pPr>
      <w:r>
        <w:rPr>
          <w:lang w:eastAsia="zh-CN"/>
        </w:rPr>
        <w:t>此法讯仅为提供相关资料信息之用，其内容并</w:t>
      </w:r>
    </w:p>
    <w:p w:rsidR="005C190A" w:rsidRDefault="00C90391">
      <w:pPr>
        <w:pStyle w:val="Disclaimer"/>
        <w:rPr>
          <w:lang w:eastAsia="zh-CN"/>
        </w:rPr>
      </w:pPr>
      <w:r>
        <w:rPr>
          <w:lang w:eastAsia="zh-CN"/>
        </w:rPr>
        <w:t>不构成法律建议及个案的法律分析。</w:t>
      </w:r>
    </w:p>
    <w:p w:rsidR="005C190A" w:rsidRDefault="00C90391">
      <w:pPr>
        <w:pStyle w:val="Disclaimer"/>
        <w:rPr>
          <w:lang w:eastAsia="zh-CN"/>
        </w:rPr>
      </w:pPr>
      <w:r>
        <w:rPr>
          <w:lang w:eastAsia="zh-CN"/>
        </w:rPr>
        <w:t>此法讯的发送并不是为了在易周律师行与用户或浏览者之</w:t>
      </w:r>
      <w:r>
        <w:rPr>
          <w:lang w:eastAsia="zh-CN"/>
        </w:rPr>
        <w:t>间建立一种律师与客户之关系。</w:t>
      </w:r>
    </w:p>
    <w:p w:rsidR="005C190A" w:rsidRDefault="00C90391">
      <w:pPr>
        <w:pStyle w:val="Disclaimer"/>
        <w:rPr>
          <w:lang w:eastAsia="zh-CN"/>
        </w:rPr>
      </w:pPr>
      <w:r>
        <w:rPr>
          <w:lang w:eastAsia="zh-CN"/>
        </w:rPr>
        <w:t>易周律师行并不对可从互联网获得的任何第三方内容负责。</w:t>
      </w:r>
    </w:p>
    <w:p w:rsidR="005C190A" w:rsidRDefault="00C90391">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unsubscribe@charltonslaw.com</w:t>
        </w:r>
      </w:hyperlink>
    </w:p>
    <w:p w:rsidR="005C190A" w:rsidRDefault="00C90391">
      <w:pPr>
        <w:pStyle w:val="BlackStrips"/>
      </w:pPr>
      <w:r>
        <w:t xml:space="preserve">Charltons - </w:t>
      </w:r>
      <w:r>
        <w:t>香港法律</w:t>
      </w:r>
      <w:r>
        <w:t xml:space="preserve"> - 2025</w:t>
      </w:r>
      <w:r>
        <w:t>年</w:t>
      </w:r>
      <w:r>
        <w:t>1</w:t>
      </w:r>
      <w:r>
        <w:t>月</w:t>
      </w:r>
      <w:r>
        <w:t>17</w:t>
      </w:r>
      <w:r>
        <w:t>日</w:t>
      </w:r>
    </w:p>
    <w:sectPr w:rsidR="005C190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0391">
      <w:pPr>
        <w:spacing w:after="0"/>
      </w:pPr>
      <w:r>
        <w:separator/>
      </w:r>
    </w:p>
  </w:endnote>
  <w:endnote w:type="continuationSeparator" w:id="0">
    <w:p w:rsidR="00000000" w:rsidRDefault="00C903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0A" w:rsidRDefault="00C90391">
      <w:r>
        <w:separator/>
      </w:r>
    </w:p>
  </w:footnote>
  <w:footnote w:type="continuationSeparator" w:id="0">
    <w:p w:rsidR="005C190A" w:rsidRDefault="00C90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AEA84D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C068F0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C3014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5C190A"/>
    <w:rsid w:val="00784D58"/>
    <w:rsid w:val="008D6863"/>
    <w:rsid w:val="00B86B75"/>
    <w:rsid w:val="00BC48D5"/>
    <w:rsid w:val="00C36279"/>
    <w:rsid w:val="00C4675D"/>
    <w:rsid w:val="00C90391"/>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A60F"/>
  <w15:docId w15:val="{51F1DC8C-E997-44BB-9B9F-1CE38823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yaddress.gov.hk/2024/public/pdf/policy/policy-full_tc.pdf" TargetMode="External"/><Relationship Id="rId3" Type="http://schemas.openxmlformats.org/officeDocument/2006/relationships/settings" Target="settings.xml"/><Relationship Id="rId7" Type="http://schemas.openxmlformats.org/officeDocument/2006/relationships/hyperlink" Target="http://www.charltonslaw.com.cn/xiang-gang-xing-zheng-chang-guan-2024nian-xiang-gang-shi-zheng-bao-gao-zhu-yao-ye-wu-di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fraserinstitute.org/studies/economic-freedom-of-the-world-2024-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545</Words>
  <Characters>3111</Characters>
  <Application>Microsoft Office Word</Application>
  <DocSecurity>0</DocSecurity>
  <Lines>25</Lines>
  <Paragraphs>7</Paragraphs>
  <ScaleCrop>false</ScaleCrop>
  <Company>Charltons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2025-01-17T03:33:00Z</dcterms:created>
  <dcterms:modified xsi:type="dcterms:W3CDTF">2025-01-17T03:42:00Z</dcterms:modified>
</cp:coreProperties>
</file>