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0AC" w:rsidRDefault="00EB30F5">
      <w:pPr>
        <w:pStyle w:val="BlackStrips"/>
      </w:pPr>
      <w:r>
        <w:t xml:space="preserve">Charltons - </w:t>
      </w:r>
      <w:r>
        <w:t>香港法律</w:t>
      </w:r>
      <w:r>
        <w:t xml:space="preserve"> - 2025</w:t>
      </w:r>
      <w:r>
        <w:t>年</w:t>
      </w:r>
      <w:r>
        <w:t>1</w:t>
      </w:r>
      <w:r>
        <w:t>月</w:t>
      </w:r>
      <w:r>
        <w:t>14</w:t>
      </w:r>
      <w:r>
        <w:t>日</w:t>
      </w:r>
    </w:p>
    <w:p w:rsidR="004030AC" w:rsidRDefault="00EB30F5">
      <w:pPr>
        <w:pStyle w:val="ReadOnline"/>
      </w:pPr>
      <w:hyperlink r:id="rId7">
        <w:r>
          <w:t>online version</w:t>
        </w:r>
      </w:hyperlink>
    </w:p>
    <w:p w:rsidR="004030AC" w:rsidRDefault="00EB30F5">
      <w:pPr>
        <w:pStyle w:val="Title"/>
        <w:rPr>
          <w:lang w:eastAsia="zh-CN"/>
        </w:rPr>
      </w:pPr>
      <w:r>
        <w:rPr>
          <w:lang w:eastAsia="zh-CN"/>
        </w:rPr>
        <w:t>香港联交所与证监会就特专科技公司及特殊目的收购公司并购交易规定作短期修改</w:t>
      </w:r>
    </w:p>
    <w:p w:rsidR="004030AC" w:rsidRDefault="00EB30F5">
      <w:pPr>
        <w:pStyle w:val="FirstParagraph"/>
        <w:rPr>
          <w:lang w:eastAsia="zh-CN"/>
        </w:rPr>
      </w:pPr>
      <w:r>
        <w:rPr>
          <w:lang w:eastAsia="zh-CN"/>
        </w:rPr>
        <w:t>2024</w:t>
      </w:r>
      <w:r>
        <w:rPr>
          <w:lang w:eastAsia="zh-CN"/>
        </w:rPr>
        <w:t>年</w:t>
      </w:r>
      <w:r>
        <w:rPr>
          <w:lang w:eastAsia="zh-CN"/>
        </w:rPr>
        <w:t>8</w:t>
      </w:r>
      <w:r>
        <w:rPr>
          <w:lang w:eastAsia="zh-CN"/>
        </w:rPr>
        <w:t>月</w:t>
      </w:r>
      <w:r>
        <w:rPr>
          <w:lang w:eastAsia="zh-CN"/>
        </w:rPr>
        <w:t>23</w:t>
      </w:r>
      <w:r>
        <w:rPr>
          <w:lang w:eastAsia="zh-CN"/>
        </w:rPr>
        <w:t>日，香港交易及结算所有限公司（</w:t>
      </w:r>
      <w:r>
        <w:rPr>
          <w:b/>
          <w:lang w:eastAsia="zh-CN"/>
        </w:rPr>
        <w:t>联交所</w:t>
      </w:r>
      <w:r>
        <w:rPr>
          <w:lang w:eastAsia="zh-CN"/>
        </w:rPr>
        <w:t>）和香港证券及期货事务监察委员会（</w:t>
      </w:r>
      <w:r>
        <w:rPr>
          <w:b/>
          <w:lang w:eastAsia="zh-CN"/>
        </w:rPr>
        <w:t>证监会</w:t>
      </w:r>
      <w:r>
        <w:rPr>
          <w:lang w:eastAsia="zh-CN"/>
        </w:rPr>
        <w:t>）</w:t>
      </w:r>
      <w:hyperlink r:id="rId8">
        <w:r>
          <w:rPr>
            <w:lang w:eastAsia="zh-CN"/>
          </w:rPr>
          <w:t>宣布</w:t>
        </w:r>
      </w:hyperlink>
      <w:r>
        <w:rPr>
          <w:lang w:eastAsia="zh-CN"/>
        </w:rPr>
        <w:t>对特专科技公司及香港特殊目的收购公司并购交易的规定作短期修改。</w:t>
      </w:r>
    </w:p>
    <w:p w:rsidR="004030AC" w:rsidRDefault="00EB30F5">
      <w:pPr>
        <w:pStyle w:val="BodyText"/>
        <w:rPr>
          <w:lang w:eastAsia="zh-CN"/>
        </w:rPr>
      </w:pPr>
      <w:r>
        <w:rPr>
          <w:lang w:eastAsia="zh-CN"/>
        </w:rPr>
        <w:t>总之，这些修改包括下调上市时的市值门槛、对特殊目的收购公司并购交易中第三方</w:t>
      </w:r>
      <w:r>
        <w:rPr>
          <w:lang w:eastAsia="zh-CN"/>
        </w:rPr>
        <w:t>投资者的独立性规定、对某些上市规定进行临时修改以及明厘清</w:t>
      </w:r>
      <w:r>
        <w:rPr>
          <w:lang w:eastAsia="zh-CN"/>
        </w:rPr>
        <w:t>“</w:t>
      </w:r>
      <w:r>
        <w:rPr>
          <w:lang w:eastAsia="zh-CN"/>
        </w:rPr>
        <w:t>资深投资者</w:t>
      </w:r>
      <w:r>
        <w:rPr>
          <w:lang w:eastAsia="zh-CN"/>
        </w:rPr>
        <w:t>”</w:t>
      </w:r>
      <w:r>
        <w:rPr>
          <w:lang w:eastAsia="zh-CN"/>
        </w:rPr>
        <w:t>的定义。这些变化旨在巩固香港作为科技公司领先上市地的地位，并保持高监管标准。这些更新还使特殊目的收购公司并购交易的第三方投资要求与《主板上市规则》第</w:t>
      </w:r>
      <w:r>
        <w:rPr>
          <w:lang w:eastAsia="zh-CN"/>
        </w:rPr>
        <w:t>18C</w:t>
      </w:r>
      <w:r>
        <w:rPr>
          <w:lang w:eastAsia="zh-CN"/>
        </w:rPr>
        <w:t>章的独立性测试保持一致。香港证监会已根据主板上市规则</w:t>
      </w:r>
      <w:r>
        <w:rPr>
          <w:lang w:eastAsia="zh-CN"/>
        </w:rPr>
        <w:t>2.04</w:t>
      </w:r>
      <w:r>
        <w:rPr>
          <w:lang w:eastAsia="zh-CN"/>
        </w:rPr>
        <w:t>正式批准了这些修改。</w:t>
      </w:r>
    </w:p>
    <w:p w:rsidR="004030AC" w:rsidRPr="00EB30F5" w:rsidRDefault="00EB30F5">
      <w:pPr>
        <w:pStyle w:val="BodyText"/>
        <w:rPr>
          <w:b/>
          <w:lang w:eastAsia="zh-CN"/>
        </w:rPr>
      </w:pPr>
      <w:r w:rsidRPr="00EB30F5">
        <w:rPr>
          <w:b/>
          <w:lang w:eastAsia="zh-CN"/>
        </w:rPr>
        <w:t>下调特专科技公司上市时的市值门槛</w:t>
      </w:r>
    </w:p>
    <w:p w:rsidR="004030AC" w:rsidRDefault="00EB30F5">
      <w:pPr>
        <w:pStyle w:val="BodyText"/>
        <w:rPr>
          <w:lang w:eastAsia="zh-CN"/>
        </w:rPr>
      </w:pPr>
      <w:r>
        <w:rPr>
          <w:lang w:eastAsia="zh-CN"/>
        </w:rPr>
        <w:t>特专科技公司在主板上市时的市值门槛已下调。如为已商业化公司，市值门槛由</w:t>
      </w:r>
      <w:r>
        <w:rPr>
          <w:lang w:eastAsia="zh-CN"/>
        </w:rPr>
        <w:t>60</w:t>
      </w:r>
      <w:r>
        <w:rPr>
          <w:lang w:eastAsia="zh-CN"/>
        </w:rPr>
        <w:t>亿港元减至</w:t>
      </w:r>
      <w:r>
        <w:rPr>
          <w:lang w:eastAsia="zh-CN"/>
        </w:rPr>
        <w:t>40</w:t>
      </w:r>
      <w:r>
        <w:rPr>
          <w:lang w:eastAsia="zh-CN"/>
        </w:rPr>
        <w:t>亿港元；如为未商业化公司，市值门槛由</w:t>
      </w:r>
      <w:r>
        <w:rPr>
          <w:lang w:eastAsia="zh-CN"/>
        </w:rPr>
        <w:t>100</w:t>
      </w:r>
      <w:r>
        <w:rPr>
          <w:lang w:eastAsia="zh-CN"/>
        </w:rPr>
        <w:t>亿港元减至</w:t>
      </w:r>
      <w:r>
        <w:rPr>
          <w:lang w:eastAsia="zh-CN"/>
        </w:rPr>
        <w:t>80</w:t>
      </w:r>
      <w:r>
        <w:rPr>
          <w:lang w:eastAsia="zh-CN"/>
        </w:rPr>
        <w:t>亿港元。这一变化与《主板上市</w:t>
      </w:r>
      <w:r>
        <w:rPr>
          <w:lang w:eastAsia="zh-CN"/>
        </w:rPr>
        <w:t>规则》</w:t>
      </w:r>
      <w:r>
        <w:rPr>
          <w:lang w:eastAsia="zh-CN"/>
        </w:rPr>
        <w:t>18C.03(3)</w:t>
      </w:r>
      <w:r>
        <w:rPr>
          <w:lang w:eastAsia="zh-CN"/>
        </w:rPr>
        <w:t>中的规定相关。</w:t>
      </w:r>
    </w:p>
    <w:p w:rsidR="004030AC" w:rsidRPr="00EB30F5" w:rsidRDefault="00EB30F5">
      <w:pPr>
        <w:pStyle w:val="BodyText"/>
        <w:rPr>
          <w:b/>
          <w:lang w:eastAsia="zh-CN"/>
        </w:rPr>
      </w:pPr>
      <w:r w:rsidRPr="00EB30F5">
        <w:rPr>
          <w:b/>
          <w:lang w:eastAsia="zh-CN"/>
        </w:rPr>
        <w:t>下调香港特殊目的收购公司并购交易的最低独立第三方投资额</w:t>
      </w:r>
    </w:p>
    <w:p w:rsidR="004030AC" w:rsidRDefault="00EB30F5">
      <w:pPr>
        <w:pStyle w:val="BodyText"/>
        <w:rPr>
          <w:lang w:eastAsia="zh-CN"/>
        </w:rPr>
      </w:pPr>
      <w:r>
        <w:rPr>
          <w:lang w:eastAsia="zh-CN"/>
        </w:rPr>
        <w:t>进行特殊目的收购公司并购交易涉及的最低独立第三方投资额将调减至以下较低者：</w:t>
      </w:r>
      <w:r>
        <w:rPr>
          <w:lang w:eastAsia="zh-CN"/>
        </w:rPr>
        <w:t>(i)</w:t>
      </w:r>
      <w:r>
        <w:rPr>
          <w:lang w:eastAsia="zh-CN"/>
        </w:rPr>
        <w:t>根据《主板上市规则》</w:t>
      </w:r>
      <w:r>
        <w:rPr>
          <w:lang w:eastAsia="zh-CN"/>
        </w:rPr>
        <w:t>18B.41</w:t>
      </w:r>
      <w:r>
        <w:rPr>
          <w:lang w:eastAsia="zh-CN"/>
        </w:rPr>
        <w:t>中所列表格中的特定百分比计算得出的金额；或</w:t>
      </w:r>
      <w:r>
        <w:rPr>
          <w:lang w:eastAsia="zh-CN"/>
        </w:rPr>
        <w:t>(ii)5</w:t>
      </w:r>
      <w:r>
        <w:rPr>
          <w:lang w:eastAsia="zh-CN"/>
        </w:rPr>
        <w:t>亿港元。</w:t>
      </w:r>
    </w:p>
    <w:p w:rsidR="004030AC" w:rsidRPr="00EB30F5" w:rsidRDefault="00EB30F5">
      <w:pPr>
        <w:pStyle w:val="BodyText"/>
        <w:rPr>
          <w:b/>
          <w:lang w:eastAsia="zh-CN"/>
        </w:rPr>
      </w:pPr>
      <w:r w:rsidRPr="00EB30F5">
        <w:rPr>
          <w:b/>
          <w:lang w:eastAsia="zh-CN"/>
        </w:rPr>
        <w:t>香港特殊目的收购公司并购交易的第三方投资者的独立性规定</w:t>
      </w:r>
    </w:p>
    <w:p w:rsidR="004030AC" w:rsidRDefault="00EB30F5">
      <w:pPr>
        <w:pStyle w:val="BodyText"/>
        <w:rPr>
          <w:lang w:eastAsia="zh-CN"/>
        </w:rPr>
      </w:pPr>
      <w:r>
        <w:rPr>
          <w:lang w:eastAsia="zh-CN"/>
        </w:rPr>
        <w:t>《主板上市规则》第</w:t>
      </w:r>
      <w:r>
        <w:rPr>
          <w:lang w:eastAsia="zh-CN"/>
        </w:rPr>
        <w:t>18B.40</w:t>
      </w:r>
      <w:r>
        <w:rPr>
          <w:lang w:eastAsia="zh-CN"/>
        </w:rPr>
        <w:t>条下香港特殊目的收购公司并购交易的第三方投资者独立性测试将作出调整，使其与特专科技公司的资深独立投资者的独立性测试一致。</w:t>
      </w:r>
    </w:p>
    <w:p w:rsidR="004030AC" w:rsidRDefault="00EB30F5">
      <w:pPr>
        <w:pStyle w:val="BodyText"/>
      </w:pPr>
      <w:r>
        <w:t>包括以下要点：</w:t>
      </w:r>
    </w:p>
    <w:p w:rsidR="004030AC" w:rsidRDefault="00EB30F5">
      <w:pPr>
        <w:pStyle w:val="Compact"/>
        <w:numPr>
          <w:ilvl w:val="0"/>
          <w:numId w:val="3"/>
        </w:numPr>
        <w:rPr>
          <w:lang w:eastAsia="zh-CN"/>
        </w:rPr>
      </w:pPr>
      <w:r>
        <w:rPr>
          <w:lang w:eastAsia="zh-CN"/>
        </w:rPr>
        <w:t>第三方投资者是否独</w:t>
      </w:r>
      <w:r>
        <w:rPr>
          <w:lang w:eastAsia="zh-CN"/>
        </w:rPr>
        <w:t>立，将按作出相关投资的最终协议签署之日以及直至继承公司（继承公司指因香港特殊目的收购公司并购交易完成而产生的上市发行人）上市期间作为评定基准；</w:t>
      </w:r>
    </w:p>
    <w:p w:rsidR="004030AC" w:rsidRDefault="00EB30F5">
      <w:pPr>
        <w:pStyle w:val="Compact"/>
        <w:numPr>
          <w:ilvl w:val="0"/>
          <w:numId w:val="3"/>
        </w:numPr>
        <w:rPr>
          <w:lang w:eastAsia="zh-CN"/>
        </w:rPr>
      </w:pPr>
      <w:r>
        <w:rPr>
          <w:lang w:eastAsia="zh-CN"/>
        </w:rPr>
        <w:t>以下人士或实体不会被视为独立第三方投资者：</w:t>
      </w:r>
      <w:r>
        <w:rPr>
          <w:lang w:eastAsia="zh-CN"/>
        </w:rPr>
        <w:t>(i)</w:t>
      </w:r>
      <w:r>
        <w:rPr>
          <w:lang w:eastAsia="zh-CN"/>
        </w:rPr>
        <w:t>特殊目的收购公司或特殊目的收购公司并购目标的核心关连人士，惟任何特殊目的收购公司或特殊目的收购公司并购目标的大股东仅因其对特殊目的收购公司或特殊目的收购公司并购目标的持股规模而被视为核心关连人士者除外；</w:t>
      </w:r>
      <w:r>
        <w:rPr>
          <w:lang w:eastAsia="zh-CN"/>
        </w:rPr>
        <w:t>(ii)</w:t>
      </w:r>
      <w:r>
        <w:rPr>
          <w:lang w:eastAsia="zh-CN"/>
        </w:rPr>
        <w:t>特殊目的收购公司或特殊目的收购公司并购目标的控股股东（或任何被视为控股股东的一组人士的其中一员）；</w:t>
      </w:r>
      <w:r>
        <w:rPr>
          <w:lang w:eastAsia="zh-CN"/>
        </w:rPr>
        <w:t>(iii)</w:t>
      </w:r>
      <w:r>
        <w:rPr>
          <w:lang w:eastAsia="zh-CN"/>
        </w:rPr>
        <w:t>特</w:t>
      </w:r>
      <w:r>
        <w:rPr>
          <w:lang w:eastAsia="zh-CN"/>
        </w:rPr>
        <w:t>殊目的收购公司并购目标的创办人及其紧密联系人。</w:t>
      </w:r>
    </w:p>
    <w:p w:rsidR="004030AC" w:rsidRDefault="00EB30F5">
      <w:pPr>
        <w:pStyle w:val="Compact"/>
        <w:numPr>
          <w:ilvl w:val="0"/>
          <w:numId w:val="3"/>
        </w:numPr>
        <w:rPr>
          <w:lang w:eastAsia="zh-CN"/>
        </w:rPr>
      </w:pPr>
      <w:r>
        <w:rPr>
          <w:lang w:eastAsia="zh-CN"/>
        </w:rPr>
        <w:t>联交所保留按个别事实及情况将任何其他人士视为非独立的权利。例如，与特殊目的收购公司发起人或特殊目的收购公司并购目标的控股股东或特殊目的收购公司并购目标的创办人签署了一致行动协议或安排的人士通常不被视为独立。</w:t>
      </w:r>
    </w:p>
    <w:p w:rsidR="004030AC" w:rsidRPr="00EB30F5" w:rsidRDefault="00EB30F5">
      <w:pPr>
        <w:pStyle w:val="FirstParagraph"/>
        <w:rPr>
          <w:b/>
          <w:lang w:eastAsia="zh-CN"/>
        </w:rPr>
      </w:pPr>
      <w:r w:rsidRPr="00EB30F5">
        <w:rPr>
          <w:b/>
          <w:lang w:eastAsia="zh-CN"/>
        </w:rPr>
        <w:t>相关修改的有效期</w:t>
      </w:r>
    </w:p>
    <w:p w:rsidR="004030AC" w:rsidRDefault="00EB30F5">
      <w:pPr>
        <w:pStyle w:val="BodyText"/>
        <w:rPr>
          <w:lang w:eastAsia="zh-CN"/>
        </w:rPr>
      </w:pPr>
      <w:r>
        <w:rPr>
          <w:lang w:eastAsia="zh-CN"/>
        </w:rPr>
        <w:t>某些上市规定的修改将于三年限期内暂时适用，由</w:t>
      </w:r>
      <w:r>
        <w:rPr>
          <w:lang w:eastAsia="zh-CN"/>
        </w:rPr>
        <w:t>2024</w:t>
      </w:r>
      <w:r>
        <w:rPr>
          <w:lang w:eastAsia="zh-CN"/>
        </w:rPr>
        <w:t>年</w:t>
      </w:r>
      <w:r>
        <w:rPr>
          <w:lang w:eastAsia="zh-CN"/>
        </w:rPr>
        <w:t>9</w:t>
      </w:r>
      <w:r>
        <w:rPr>
          <w:lang w:eastAsia="zh-CN"/>
        </w:rPr>
        <w:t>月</w:t>
      </w:r>
      <w:r>
        <w:rPr>
          <w:lang w:eastAsia="zh-CN"/>
        </w:rPr>
        <w:t>1</w:t>
      </w:r>
      <w:r>
        <w:rPr>
          <w:lang w:eastAsia="zh-CN"/>
        </w:rPr>
        <w:t>日起至</w:t>
      </w:r>
      <w:r>
        <w:rPr>
          <w:lang w:eastAsia="zh-CN"/>
        </w:rPr>
        <w:t>2027</w:t>
      </w:r>
      <w:r>
        <w:rPr>
          <w:lang w:eastAsia="zh-CN"/>
        </w:rPr>
        <w:t>年</w:t>
      </w:r>
      <w:r>
        <w:rPr>
          <w:lang w:eastAsia="zh-CN"/>
        </w:rPr>
        <w:t>8</w:t>
      </w:r>
      <w:r>
        <w:rPr>
          <w:lang w:eastAsia="zh-CN"/>
        </w:rPr>
        <w:t>月</w:t>
      </w:r>
      <w:r>
        <w:rPr>
          <w:lang w:eastAsia="zh-CN"/>
        </w:rPr>
        <w:t>31</w:t>
      </w:r>
      <w:r>
        <w:rPr>
          <w:lang w:eastAsia="zh-CN"/>
        </w:rPr>
        <w:t>日止（实施期）。联交所于</w:t>
      </w:r>
      <w:r>
        <w:rPr>
          <w:lang w:eastAsia="zh-CN"/>
        </w:rPr>
        <w:t>2027</w:t>
      </w:r>
      <w:r>
        <w:rPr>
          <w:lang w:eastAsia="zh-CN"/>
        </w:rPr>
        <w:t>年</w:t>
      </w:r>
      <w:r>
        <w:rPr>
          <w:lang w:eastAsia="zh-CN"/>
        </w:rPr>
        <w:t>8</w:t>
      </w:r>
      <w:r>
        <w:rPr>
          <w:lang w:eastAsia="zh-CN"/>
        </w:rPr>
        <w:t>月</w:t>
      </w:r>
      <w:r>
        <w:rPr>
          <w:lang w:eastAsia="zh-CN"/>
        </w:rPr>
        <w:t>31</w:t>
      </w:r>
      <w:r>
        <w:rPr>
          <w:lang w:eastAsia="zh-CN"/>
        </w:rPr>
        <w:t>日前会重新评估这些规定，可能会涉及公众谘询。拟根据香港《主板上市规则》第</w:t>
      </w:r>
      <w:r>
        <w:rPr>
          <w:lang w:eastAsia="zh-CN"/>
        </w:rPr>
        <w:t>18C</w:t>
      </w:r>
      <w:r>
        <w:rPr>
          <w:lang w:eastAsia="zh-CN"/>
        </w:rPr>
        <w:t>章上市的特专科技公司，只有在预计上</w:t>
      </w:r>
      <w:r>
        <w:rPr>
          <w:lang w:eastAsia="zh-CN"/>
        </w:rPr>
        <w:t>市日期在实施期内，并于实施期内届满前提交上市申请，才适用修订后的市值门槛。就特殊目的收购公司并购交易而言，修改后的独立</w:t>
      </w:r>
      <w:r>
        <w:rPr>
          <w:lang w:eastAsia="zh-CN"/>
        </w:rPr>
        <w:lastRenderedPageBreak/>
        <w:t>第三方投资门槛及第三方投资者的独立性规定将适用于所有预期在三年实施期内公布的特殊目的收购公司并购交易。</w:t>
      </w:r>
    </w:p>
    <w:p w:rsidR="004030AC" w:rsidRPr="00EB30F5" w:rsidRDefault="00EB30F5">
      <w:pPr>
        <w:pStyle w:val="BodyText"/>
        <w:rPr>
          <w:b/>
          <w:lang w:eastAsia="zh-CN"/>
        </w:rPr>
      </w:pPr>
      <w:r w:rsidRPr="00EB30F5">
        <w:rPr>
          <w:b/>
          <w:lang w:eastAsia="zh-CN"/>
        </w:rPr>
        <w:t>厘清香港独立第三方投资的「资深投资者」定义</w:t>
      </w:r>
    </w:p>
    <w:p w:rsidR="004030AC" w:rsidRDefault="00EB30F5">
      <w:pPr>
        <w:pStyle w:val="BodyText"/>
        <w:rPr>
          <w:lang w:eastAsia="zh-CN"/>
        </w:rPr>
      </w:pPr>
      <w:r>
        <w:rPr>
          <w:lang w:eastAsia="zh-CN"/>
        </w:rPr>
        <w:t>联交所已更新其指引文件，将独立第三方投资的「资深投资者」定义调整至更贴近联交所有关识别特专科技公司的合资格资深独立投资者之规定。这些更新将反映在经修订的</w:t>
      </w:r>
      <w:hyperlink r:id="rId9">
        <w:r>
          <w:rPr>
            <w:lang w:eastAsia="zh-CN"/>
          </w:rPr>
          <w:t>《新上市申请人指南》</w:t>
        </w:r>
      </w:hyperlink>
      <w:r>
        <w:rPr>
          <w:lang w:eastAsia="zh-CN"/>
        </w:rPr>
        <w:t>、</w:t>
      </w:r>
      <w:hyperlink r:id="rId10">
        <w:r>
          <w:rPr>
            <w:lang w:eastAsia="zh-CN"/>
          </w:rPr>
          <w:t>指引信</w:t>
        </w:r>
        <w:r>
          <w:rPr>
            <w:lang w:eastAsia="zh-CN"/>
          </w:rPr>
          <w:t>HKEX-GL113-22</w:t>
        </w:r>
      </w:hyperlink>
      <w:r>
        <w:rPr>
          <w:lang w:eastAsia="zh-CN"/>
        </w:rPr>
        <w:t>，以及</w:t>
      </w:r>
      <w:hyperlink r:id="rId11">
        <w:r>
          <w:rPr>
            <w:lang w:eastAsia="zh-CN"/>
          </w:rPr>
          <w:t>更新的特殊目的收购公司常见问题中</w:t>
        </w:r>
      </w:hyperlink>
      <w:r>
        <w:rPr>
          <w:lang w:eastAsia="zh-CN"/>
        </w:rPr>
        <w:t>，于</w:t>
      </w:r>
      <w:r>
        <w:rPr>
          <w:lang w:eastAsia="zh-CN"/>
        </w:rPr>
        <w:t>2024</w:t>
      </w:r>
      <w:r>
        <w:rPr>
          <w:lang w:eastAsia="zh-CN"/>
        </w:rPr>
        <w:t>年</w:t>
      </w:r>
      <w:r>
        <w:rPr>
          <w:lang w:eastAsia="zh-CN"/>
        </w:rPr>
        <w:t>9</w:t>
      </w:r>
      <w:r>
        <w:rPr>
          <w:lang w:eastAsia="zh-CN"/>
        </w:rPr>
        <w:t>月</w:t>
      </w:r>
      <w:r>
        <w:rPr>
          <w:lang w:eastAsia="zh-CN"/>
        </w:rPr>
        <w:t>1</w:t>
      </w:r>
      <w:r>
        <w:rPr>
          <w:lang w:eastAsia="zh-CN"/>
        </w:rPr>
        <w:t>日起生效。</w:t>
      </w:r>
    </w:p>
    <w:p w:rsidR="004030AC" w:rsidRPr="00EB30F5" w:rsidRDefault="00EB30F5">
      <w:pPr>
        <w:pStyle w:val="BodyText"/>
        <w:rPr>
          <w:b/>
          <w:lang w:eastAsia="zh-CN"/>
        </w:rPr>
      </w:pPr>
      <w:r w:rsidRPr="00EB30F5">
        <w:rPr>
          <w:b/>
          <w:lang w:eastAsia="zh-CN"/>
        </w:rPr>
        <w:t>香港特殊目的收购公司并购交易</w:t>
      </w:r>
    </w:p>
    <w:p w:rsidR="004030AC" w:rsidRDefault="00EB30F5">
      <w:pPr>
        <w:pStyle w:val="BodyText"/>
        <w:rPr>
          <w:lang w:eastAsia="zh-CN"/>
        </w:rPr>
      </w:pPr>
      <w:r>
        <w:rPr>
          <w:lang w:eastAsia="zh-CN"/>
        </w:rPr>
        <w:t>引入特殊目的收购公司并购交易强制性独立第三方投资的基本原理是降低高估值风险。新的投资要求旨在确保大量的</w:t>
      </w:r>
      <w:r>
        <w:rPr>
          <w:lang w:eastAsia="zh-CN"/>
        </w:rPr>
        <w:t xml:space="preserve"> “</w:t>
      </w:r>
      <w:r>
        <w:rPr>
          <w:lang w:eastAsia="zh-CN"/>
        </w:rPr>
        <w:t>风险资本</w:t>
      </w:r>
      <w:r>
        <w:rPr>
          <w:lang w:eastAsia="zh-CN"/>
        </w:rPr>
        <w:t>”</w:t>
      </w:r>
      <w:r>
        <w:rPr>
          <w:lang w:eastAsia="zh-CN"/>
        </w:rPr>
        <w:t>，以支持香港特殊目的收购公司并购交易中目标公司估值的合法性。此外，该部分内容将这些投资要求与第</w:t>
      </w:r>
      <w:r>
        <w:rPr>
          <w:lang w:eastAsia="zh-CN"/>
        </w:rPr>
        <w:t xml:space="preserve"> 18C </w:t>
      </w:r>
      <w:r>
        <w:rPr>
          <w:lang w:eastAsia="zh-CN"/>
        </w:rPr>
        <w:t>章独立性测试进行了类比，第</w:t>
      </w:r>
      <w:r>
        <w:rPr>
          <w:lang w:eastAsia="zh-CN"/>
        </w:rPr>
        <w:t>18C</w:t>
      </w:r>
      <w:r>
        <w:rPr>
          <w:lang w:eastAsia="zh-CN"/>
        </w:rPr>
        <w:t>章独立性测试的设立是为了专门解决特专科技公司的估值挑战。第三方投资要求与第</w:t>
      </w:r>
      <w:r>
        <w:rPr>
          <w:lang w:eastAsia="zh-CN"/>
        </w:rPr>
        <w:t>18C</w:t>
      </w:r>
      <w:r>
        <w:rPr>
          <w:lang w:eastAsia="zh-CN"/>
        </w:rPr>
        <w:t>章独立性测试的一致性，部分目的是解决特</w:t>
      </w:r>
      <w:r>
        <w:rPr>
          <w:lang w:eastAsia="zh-CN"/>
        </w:rPr>
        <w:t>殊目的收购公司在应用独立财务顾问</w:t>
      </w:r>
      <w:bookmarkStart w:id="0" w:name="_GoBack"/>
      <w:bookmarkEnd w:id="0"/>
      <w:r>
        <w:rPr>
          <w:lang w:eastAsia="zh-CN"/>
        </w:rPr>
        <w:t>测试时明显面临的问题，而该测试最初并非为香港特殊目的收购公司并购交易而设计。</w:t>
      </w:r>
    </w:p>
    <w:p w:rsidR="004030AC" w:rsidRPr="00EB30F5" w:rsidRDefault="00EB30F5">
      <w:pPr>
        <w:pStyle w:val="BodyText"/>
        <w:rPr>
          <w:b/>
          <w:lang w:eastAsia="zh-CN"/>
        </w:rPr>
      </w:pPr>
      <w:r w:rsidRPr="00EB30F5">
        <w:rPr>
          <w:b/>
          <w:lang w:eastAsia="zh-CN"/>
        </w:rPr>
        <w:t>香港交易所对特专科技公司的定义</w:t>
      </w:r>
    </w:p>
    <w:p w:rsidR="004030AC" w:rsidRDefault="00EB30F5">
      <w:pPr>
        <w:pStyle w:val="BodyText"/>
        <w:rPr>
          <w:lang w:eastAsia="zh-CN"/>
        </w:rPr>
      </w:pPr>
      <w:r>
        <w:rPr>
          <w:lang w:eastAsia="zh-CN"/>
        </w:rPr>
        <w:t>根据香港交易《上市规则》上市的特专科技公司指主要从事</w:t>
      </w:r>
      <w:hyperlink r:id="rId12">
        <w:r>
          <w:rPr>
            <w:lang w:eastAsia="zh-CN"/>
          </w:rPr>
          <w:t>《新上市申请人指南》</w:t>
        </w:r>
      </w:hyperlink>
      <w:r>
        <w:rPr>
          <w:lang w:eastAsia="zh-CN"/>
        </w:rPr>
        <w:t>所载的任何特专科技行业可接纳领域内的科学及技术的产品及服务的研发，以及其商业化</w:t>
      </w:r>
      <w:r>
        <w:rPr>
          <w:lang w:eastAsia="zh-CN"/>
        </w:rPr>
        <w:t>及销售的公司。《主板上市规则》</w:t>
      </w:r>
      <w:hyperlink r:id="rId13">
        <w:r>
          <w:rPr>
            <w:lang w:eastAsia="zh-CN"/>
          </w:rPr>
          <w:t>第十八</w:t>
        </w:r>
        <w:r>
          <w:rPr>
            <w:lang w:eastAsia="zh-CN"/>
          </w:rPr>
          <w:t>C</w:t>
        </w:r>
        <w:r>
          <w:rPr>
            <w:lang w:eastAsia="zh-CN"/>
          </w:rPr>
          <w:t>章</w:t>
        </w:r>
      </w:hyperlink>
      <w:r>
        <w:rPr>
          <w:lang w:eastAsia="zh-CN"/>
        </w:rPr>
        <w:t>为不符合《主板上市规则》第八章资格要求的特专科技公司提供上市途径。</w:t>
      </w:r>
    </w:p>
    <w:p w:rsidR="004030AC" w:rsidRPr="00EB30F5" w:rsidRDefault="00EB30F5">
      <w:pPr>
        <w:pStyle w:val="BodyText"/>
        <w:rPr>
          <w:b/>
          <w:lang w:eastAsia="zh-CN"/>
        </w:rPr>
      </w:pPr>
      <w:r w:rsidRPr="00EB30F5">
        <w:rPr>
          <w:b/>
          <w:lang w:eastAsia="zh-CN"/>
        </w:rPr>
        <w:t>香港交易所对特殊目的收购公司的定义</w:t>
      </w:r>
    </w:p>
    <w:p w:rsidR="004030AC" w:rsidRDefault="00EB30F5">
      <w:pPr>
        <w:pStyle w:val="BodyText"/>
        <w:rPr>
          <w:lang w:eastAsia="zh-CN"/>
        </w:rPr>
      </w:pPr>
      <w:r>
        <w:rPr>
          <w:lang w:eastAsia="zh-CN"/>
        </w:rPr>
        <w:t>特殊目的收购公司本质上是一种空壳公司，旨在通过首次公开募股筹集资金，以便在特定时间范围内收购一家公司或业务（称为特殊目的收购公司并购目标）。《主板上</w:t>
      </w:r>
      <w:r>
        <w:rPr>
          <w:lang w:eastAsia="zh-CN"/>
        </w:rPr>
        <w:t>市规则》第十八</w:t>
      </w:r>
      <w:r>
        <w:rPr>
          <w:lang w:eastAsia="zh-CN"/>
        </w:rPr>
        <w:t>B</w:t>
      </w:r>
      <w:r>
        <w:rPr>
          <w:lang w:eastAsia="zh-CN"/>
        </w:rPr>
        <w:t>章及《新上市申请人指南》第</w:t>
      </w:r>
      <w:r>
        <w:rPr>
          <w:lang w:eastAsia="zh-CN"/>
        </w:rPr>
        <w:t>2.4</w:t>
      </w:r>
      <w:r>
        <w:rPr>
          <w:lang w:eastAsia="zh-CN"/>
        </w:rPr>
        <w:t>章概述了香港特殊目的收购公司上市的监管框架，包括它们进行特殊目的收购公司并购交易必须满足的标准。</w:t>
      </w:r>
    </w:p>
    <w:p w:rsidR="004030AC" w:rsidRDefault="00EB30F5">
      <w:pPr>
        <w:pStyle w:val="DisclaimerBold"/>
        <w:rPr>
          <w:lang w:eastAsia="zh-CN"/>
        </w:rPr>
      </w:pPr>
      <w:r>
        <w:rPr>
          <w:lang w:eastAsia="zh-CN"/>
        </w:rPr>
        <w:t>此法讯仅为提供相关资料信息之用，其内容并</w:t>
      </w:r>
    </w:p>
    <w:p w:rsidR="004030AC" w:rsidRDefault="00EB30F5">
      <w:pPr>
        <w:pStyle w:val="Disclaimer"/>
        <w:rPr>
          <w:lang w:eastAsia="zh-CN"/>
        </w:rPr>
      </w:pPr>
      <w:r>
        <w:rPr>
          <w:lang w:eastAsia="zh-CN"/>
        </w:rPr>
        <w:t>不构成法律建议及个案的法律分析。</w:t>
      </w:r>
    </w:p>
    <w:p w:rsidR="004030AC" w:rsidRDefault="00EB30F5">
      <w:pPr>
        <w:pStyle w:val="Disclaimer"/>
        <w:rPr>
          <w:lang w:eastAsia="zh-CN"/>
        </w:rPr>
      </w:pPr>
      <w:r>
        <w:rPr>
          <w:lang w:eastAsia="zh-CN"/>
        </w:rPr>
        <w:t>此法讯的发送并不是为了在易周律师行与用户或浏览者之间建立一种律师与客户之关系。</w:t>
      </w:r>
    </w:p>
    <w:p w:rsidR="004030AC" w:rsidRDefault="00EB30F5">
      <w:pPr>
        <w:pStyle w:val="Disclaimer"/>
        <w:rPr>
          <w:lang w:eastAsia="zh-CN"/>
        </w:rPr>
      </w:pPr>
      <w:r>
        <w:rPr>
          <w:lang w:eastAsia="zh-CN"/>
        </w:rPr>
        <w:t>易周律师行并不对可从互联网获得的任何第三方内容负责。</w:t>
      </w:r>
    </w:p>
    <w:p w:rsidR="004030AC" w:rsidRDefault="00EB30F5">
      <w:pPr>
        <w:pStyle w:val="Disclaimer"/>
        <w:rPr>
          <w:lang w:eastAsia="zh-CN"/>
        </w:rPr>
      </w:pPr>
      <w:r>
        <w:rPr>
          <w:lang w:eastAsia="zh-CN"/>
        </w:rPr>
        <w:t>如你不希望再收到易周法讯，请发送电邮至</w:t>
      </w:r>
      <w:r>
        <w:rPr>
          <w:lang w:eastAsia="zh-CN"/>
        </w:rPr>
        <w:t xml:space="preserve">  </w:t>
      </w:r>
      <w:hyperlink r:id="rId14">
        <w:r>
          <w:rPr>
            <w:lang w:eastAsia="zh-CN"/>
          </w:rPr>
          <w:t>unsubscribe@charltonslaw.com</w:t>
        </w:r>
      </w:hyperlink>
    </w:p>
    <w:p w:rsidR="004030AC" w:rsidRDefault="00EB30F5">
      <w:pPr>
        <w:pStyle w:val="BlackStrips"/>
      </w:pPr>
      <w:r>
        <w:t xml:space="preserve">Charltons - </w:t>
      </w:r>
      <w:r>
        <w:t>香港法律</w:t>
      </w:r>
      <w:r>
        <w:t xml:space="preserve"> - 2025</w:t>
      </w:r>
      <w:r>
        <w:t>年</w:t>
      </w:r>
      <w:r>
        <w:t>1</w:t>
      </w:r>
      <w:r>
        <w:t>月</w:t>
      </w:r>
      <w:r>
        <w:t>14</w:t>
      </w:r>
      <w:r>
        <w:t>日</w:t>
      </w:r>
    </w:p>
    <w:sectPr w:rsidR="004030AC">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B30F5">
      <w:pPr>
        <w:spacing w:after="0"/>
      </w:pPr>
      <w:r>
        <w:separator/>
      </w:r>
    </w:p>
  </w:endnote>
  <w:endnote w:type="continuationSeparator" w:id="0">
    <w:p w:rsidR="00000000" w:rsidRDefault="00EB30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1"/>
    <w:family w:val="roman"/>
    <w:pitch w:val="variable"/>
  </w:font>
  <w:font w:name="Liberation Sans">
    <w:altName w:val="Arial"/>
    <w:charset w:val="01"/>
    <w:family w:val="roman"/>
    <w:pitch w:val="variable"/>
  </w:font>
  <w:font w:name="Microsoft YaHei">
    <w:altName w:val="微软雅黑"/>
    <w:panose1 w:val="020B0503020204020204"/>
    <w:charset w:val="86"/>
    <w:family w:val="roman"/>
    <w:pitch w:val="default"/>
    <w:sig w:usb0="80000287" w:usb1="2ACF3C50" w:usb2="00000016" w:usb3="00000000" w:csb0="0004001F" w:csb1="00000000"/>
  </w:font>
  <w:font w:name="Arial Unicode MS">
    <w:panose1 w:val="020B0604020202020204"/>
    <w:charset w:val="86"/>
    <w:family w:val="roman"/>
    <w:pitch w:val="default"/>
    <w:sig w:usb0="00000000" w:usb1="00000000"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0AC" w:rsidRDefault="00EB30F5">
      <w:r>
        <w:separator/>
      </w:r>
    </w:p>
  </w:footnote>
  <w:footnote w:type="continuationSeparator" w:id="0">
    <w:p w:rsidR="004030AC" w:rsidRDefault="00EB3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0786E066"/>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170CD2DE"/>
    <w:multiLevelType w:val="multilevel"/>
    <w:tmpl w:val="C24800F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A682652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030AC"/>
    <w:rsid w:val="004E29B3"/>
    <w:rsid w:val="00590D07"/>
    <w:rsid w:val="00784D58"/>
    <w:rsid w:val="008D6863"/>
    <w:rsid w:val="00B86B75"/>
    <w:rsid w:val="00BC48D5"/>
    <w:rsid w:val="00C36279"/>
    <w:rsid w:val="00E315A3"/>
    <w:rsid w:val="00EB30F5"/>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009223-9FD9-40FF-BEEB-3075F082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News/Regulatory-Announcements/2024/240823news?sc_lang=en" TargetMode="External"/><Relationship Id="rId13" Type="http://schemas.openxmlformats.org/officeDocument/2006/relationships/hyperlink" Target="https://en-rules.hkex.com.hk/sites/default/files/net_file_store/HKEX4476_6059_VER24275.pdf" TargetMode="External"/><Relationship Id="rId3" Type="http://schemas.openxmlformats.org/officeDocument/2006/relationships/settings" Target="settings.xml"/><Relationship Id="rId7" Type="http://schemas.openxmlformats.org/officeDocument/2006/relationships/hyperlink" Target="http://www.charltonslaw.com.cn/xiang-gang-lian-jiao-suo-yu-zheng-jian-hui-jiu-te-zhuan-ke-ji-gong-si-ji-te-shu-mu-de-shou-gou-gong-si-bing-gou-jiao-yi-gui-ding-zuo-duan-qi-xiu-gai" TargetMode="External"/><Relationship Id="rId12" Type="http://schemas.openxmlformats.org/officeDocument/2006/relationships/hyperlink" Target="https://en-rules.hkex.com.hk/sites/default/files/net_file_store/HKEX4476_6179_VER35082.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rules.hkex.com.hk/sites/default/files/net_file_store/faq-14.3_SPAC.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n-rules.hkex.com.hk/sites/default/files/net_file_store/gl113-22_markup.pdf" TargetMode="External"/><Relationship Id="rId4" Type="http://schemas.openxmlformats.org/officeDocument/2006/relationships/webSettings" Target="webSettings.xml"/><Relationship Id="rId9" Type="http://schemas.openxmlformats.org/officeDocument/2006/relationships/hyperlink" Target="https://en-rules.hkex.com.hk/sites/default/files/net_file_store/DOC_2.pdf" TargetMode="External"/><Relationship Id="rId14"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470</Words>
  <Characters>2683</Characters>
  <Application>Microsoft Office Word</Application>
  <DocSecurity>0</DocSecurity>
  <Lines>22</Lines>
  <Paragraphs>6</Paragraphs>
  <ScaleCrop>false</ScaleCrop>
  <Company>Charltons</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Tails Kun Yin Xiang</cp:lastModifiedBy>
  <cp:revision>2</cp:revision>
  <dcterms:created xsi:type="dcterms:W3CDTF">2025-01-14T06:41:00Z</dcterms:created>
  <dcterms:modified xsi:type="dcterms:W3CDTF">2025-01-14T07:06:00Z</dcterms:modified>
</cp:coreProperties>
</file>