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C6" w:rsidRDefault="005E445A">
      <w:pPr>
        <w:pStyle w:val="BlackStrips"/>
      </w:pPr>
      <w:r>
        <w:t xml:space="preserve">Charltons - </w:t>
      </w:r>
      <w:r>
        <w:t>香港法律</w:t>
      </w:r>
      <w:r>
        <w:t xml:space="preserve"> - 2024</w:t>
      </w:r>
      <w:r>
        <w:t>年</w:t>
      </w:r>
      <w:r>
        <w:t>10</w:t>
      </w:r>
      <w:r>
        <w:t>月</w:t>
      </w:r>
      <w:r>
        <w:t>3</w:t>
      </w:r>
      <w:r>
        <w:t>日</w:t>
      </w:r>
    </w:p>
    <w:p w:rsidR="00D766C6" w:rsidRDefault="005E445A">
      <w:pPr>
        <w:pStyle w:val="ReadOnline"/>
        <w:rPr>
          <w:lang w:eastAsia="zh-CN"/>
        </w:rPr>
      </w:pPr>
      <w:hyperlink r:id="rId7">
        <w:r>
          <w:rPr>
            <w:lang w:eastAsia="zh-CN"/>
          </w:rPr>
          <w:t>online version</w:t>
        </w:r>
      </w:hyperlink>
    </w:p>
    <w:p w:rsidR="00D766C6" w:rsidRDefault="005E445A">
      <w:pPr>
        <w:pStyle w:val="Title"/>
        <w:rPr>
          <w:lang w:eastAsia="zh-CN"/>
        </w:rPr>
      </w:pPr>
      <w:r>
        <w:rPr>
          <w:lang w:eastAsia="zh-CN"/>
        </w:rPr>
        <w:t>香港证监会拓宽采用联接基金结构的交易所买卖基金的豁免范围</w:t>
      </w:r>
    </w:p>
    <w:p w:rsidR="00D766C6" w:rsidRDefault="005E445A">
      <w:pPr>
        <w:pStyle w:val="FirstParagraph"/>
        <w:rPr>
          <w:lang w:eastAsia="zh-CN"/>
        </w:rPr>
      </w:pPr>
      <w:r>
        <w:rPr>
          <w:lang w:eastAsia="zh-CN"/>
        </w:rPr>
        <w:t>证券及期货事务监察委员会（</w:t>
      </w:r>
      <w:r>
        <w:rPr>
          <w:b/>
          <w:lang w:eastAsia="zh-CN"/>
        </w:rPr>
        <w:t>证监会</w:t>
      </w:r>
      <w:r>
        <w:rPr>
          <w:lang w:eastAsia="zh-CN"/>
        </w:rPr>
        <w:t>）发布经修订的</w:t>
      </w:r>
      <w:hyperlink r:id="rId8">
        <w:r>
          <w:rPr>
            <w:lang w:eastAsia="zh-CN"/>
          </w:rPr>
          <w:t>通函</w:t>
        </w:r>
      </w:hyperlink>
      <w:r>
        <w:rPr>
          <w:lang w:eastAsia="zh-CN"/>
        </w:rPr>
        <w:t>，简化对采用联接基金结构的合资格交易所买卖基金的规定，准许证监会认可的交易所买卖联接基金在符合指定条件的情况下，投资于在海外上市的交易所买卖主基金（包括积极管理的交易所买卖基金）。有关修订将简化的交易所买卖主基金规定扩展至主动管理的交易所买卖基金，旨在扩大香港投资者可选择的投资产品范围，并提升香港作为</w:t>
      </w:r>
      <w:r>
        <w:rPr>
          <w:lang w:eastAsia="zh-CN"/>
        </w:rPr>
        <w:t>国际基金管理中心的地位。</w:t>
      </w:r>
    </w:p>
    <w:p w:rsidR="00D766C6" w:rsidRDefault="005E445A">
      <w:pPr>
        <w:pStyle w:val="BodyText"/>
        <w:rPr>
          <w:lang w:eastAsia="zh-CN"/>
        </w:rPr>
      </w:pPr>
      <w:r>
        <w:rPr>
          <w:lang w:eastAsia="zh-CN"/>
        </w:rPr>
        <w:t>在证监会《单位信托及互惠基金守则》的立场</w:t>
      </w:r>
    </w:p>
    <w:p w:rsidR="00D766C6" w:rsidRDefault="005E445A">
      <w:pPr>
        <w:pStyle w:val="BodyText"/>
        <w:rPr>
          <w:lang w:eastAsia="zh-CN"/>
        </w:rPr>
      </w:pPr>
      <w:r>
        <w:rPr>
          <w:lang w:eastAsia="zh-CN"/>
        </w:rPr>
        <w:t>此前，香港证监会的《单位信托及互惠基金守则》（</w:t>
      </w:r>
      <w:r>
        <w:rPr>
          <w:b/>
          <w:lang w:eastAsia="zh-CN"/>
        </w:rPr>
        <w:t>《守则》</w:t>
      </w:r>
      <w:r>
        <w:rPr>
          <w:lang w:eastAsia="zh-CN"/>
        </w:rPr>
        <w:t>）第</w:t>
      </w:r>
      <w:r>
        <w:rPr>
          <w:lang w:eastAsia="zh-CN"/>
        </w:rPr>
        <w:t>7.12</w:t>
      </w:r>
      <w:r>
        <w:rPr>
          <w:lang w:eastAsia="zh-CN"/>
        </w:rPr>
        <w:t>段允许基金将其总资产净值的</w:t>
      </w:r>
      <w:r>
        <w:rPr>
          <w:lang w:eastAsia="zh-CN"/>
        </w:rPr>
        <w:t>90%</w:t>
      </w:r>
      <w:r>
        <w:rPr>
          <w:lang w:eastAsia="zh-CN"/>
        </w:rPr>
        <w:t>或以上投资于主基金，但前提是交易所买卖联接基金及交易所买卖主基金均须获得证监会授权。</w:t>
      </w:r>
      <w:hyperlink w:anchor="footnote-598-1">
        <w:r>
          <w:rPr>
            <w:vertAlign w:val="superscript"/>
            <w:lang w:eastAsia="zh-CN"/>
          </w:rPr>
          <w:t>1</w:t>
        </w:r>
      </w:hyperlink>
      <w:r>
        <w:rPr>
          <w:lang w:eastAsia="zh-CN"/>
        </w:rPr>
        <w:t>然而，这限制了获证监会授权的交易所买卖联接基金投资于海外上市的交易所买卖主基金，限制了可供投资的产品。此外，获得香港证监会授权的程序繁琐而昂贵，特别是当交易所买卖主基金在海外上市时。</w:t>
      </w:r>
    </w:p>
    <w:p w:rsidR="00D766C6" w:rsidRDefault="005E445A">
      <w:pPr>
        <w:pStyle w:val="BodyText"/>
        <w:rPr>
          <w:lang w:eastAsia="zh-CN"/>
        </w:rPr>
      </w:pPr>
      <w:r>
        <w:rPr>
          <w:lang w:eastAsia="zh-CN"/>
        </w:rPr>
        <w:t>随着交易所买卖基金越来越受欢迎，香港证监会收到了许多要求，要求允许证监会授权的联接机构在未经证监会授权的情况下投资于在海外上市的交易所买卖主基金。根据香港证监会的数据，截至</w:t>
      </w:r>
      <w:r>
        <w:rPr>
          <w:lang w:eastAsia="zh-CN"/>
        </w:rPr>
        <w:t>2024</w:t>
      </w:r>
      <w:r>
        <w:rPr>
          <w:lang w:eastAsia="zh-CN"/>
        </w:rPr>
        <w:t>年第一季度末，全球交易所买卖基金市场管理的资产规模增至</w:t>
      </w:r>
      <w:r>
        <w:rPr>
          <w:lang w:eastAsia="zh-CN"/>
        </w:rPr>
        <w:t>12.7</w:t>
      </w:r>
      <w:r>
        <w:rPr>
          <w:lang w:eastAsia="zh-CN"/>
        </w:rPr>
        <w:t>万亿美元，而自</w:t>
      </w:r>
      <w:r>
        <w:rPr>
          <w:lang w:eastAsia="zh-CN"/>
        </w:rPr>
        <w:t>2019</w:t>
      </w:r>
      <w:r>
        <w:rPr>
          <w:lang w:eastAsia="zh-CN"/>
        </w:rPr>
        <w:t>年以来，积极管理的交易所买卖基金的增长速度远快于交易所买卖基金。</w:t>
      </w:r>
    </w:p>
    <w:p w:rsidR="00D766C6" w:rsidRDefault="005E445A">
      <w:pPr>
        <w:pStyle w:val="BodyText"/>
        <w:rPr>
          <w:lang w:eastAsia="zh-CN"/>
        </w:rPr>
      </w:pPr>
      <w:r>
        <w:rPr>
          <w:lang w:eastAsia="zh-CN"/>
        </w:rPr>
        <w:t>2019</w:t>
      </w:r>
      <w:r>
        <w:rPr>
          <w:lang w:eastAsia="zh-CN"/>
        </w:rPr>
        <w:t>年</w:t>
      </w:r>
      <w:r>
        <w:rPr>
          <w:lang w:eastAsia="zh-CN"/>
        </w:rPr>
        <w:t>12</w:t>
      </w:r>
      <w:r>
        <w:rPr>
          <w:lang w:eastAsia="zh-CN"/>
        </w:rPr>
        <w:t>月，香港证监会实施了一份</w:t>
      </w:r>
      <w:hyperlink r:id="rId9">
        <w:r>
          <w:rPr>
            <w:lang w:eastAsia="zh-CN"/>
          </w:rPr>
          <w:t>关于简化对采用联结基金结构的合资格交易所买卖基金的要求的通函</w:t>
        </w:r>
      </w:hyperlink>
      <w:r>
        <w:rPr>
          <w:lang w:eastAsia="zh-CN"/>
        </w:rPr>
        <w:t>（</w:t>
      </w:r>
      <w:r>
        <w:rPr>
          <w:b/>
          <w:lang w:eastAsia="zh-CN"/>
        </w:rPr>
        <w:t>2019</w:t>
      </w:r>
      <w:r>
        <w:rPr>
          <w:b/>
          <w:lang w:eastAsia="zh-CN"/>
        </w:rPr>
        <w:t>年通函</w:t>
      </w:r>
      <w:r>
        <w:rPr>
          <w:lang w:eastAsia="zh-CN"/>
        </w:rPr>
        <w:t>），允许被动管理的证监会授权交易所买卖联接基金投资于合资格的海外上市交易所买卖主基金，而交易所买卖主基金无需另行获得证监会授权。该框架于</w:t>
      </w:r>
      <w:r>
        <w:rPr>
          <w:lang w:eastAsia="zh-CN"/>
        </w:rPr>
        <w:t>2022</w:t>
      </w:r>
      <w:r>
        <w:rPr>
          <w:lang w:eastAsia="zh-CN"/>
        </w:rPr>
        <w:t>年</w:t>
      </w:r>
      <w:r>
        <w:rPr>
          <w:lang w:eastAsia="zh-CN"/>
        </w:rPr>
        <w:t>2</w:t>
      </w:r>
      <w:r>
        <w:rPr>
          <w:lang w:eastAsia="zh-CN"/>
        </w:rPr>
        <w:t>月更新，证监会发布了</w:t>
      </w:r>
      <w:hyperlink r:id="rId10">
        <w:r>
          <w:rPr>
            <w:lang w:eastAsia="zh-CN"/>
          </w:rPr>
          <w:t>关于简化采用联结基金结构的合资格交易所买</w:t>
        </w:r>
        <w:r>
          <w:rPr>
            <w:lang w:eastAsia="zh-CN"/>
          </w:rPr>
          <w:t>卖基金要求的补充通函</w:t>
        </w:r>
      </w:hyperlink>
      <w:r>
        <w:rPr>
          <w:lang w:eastAsia="zh-CN"/>
        </w:rPr>
        <w:t>（</w:t>
      </w:r>
      <w:r>
        <w:rPr>
          <w:b/>
          <w:lang w:eastAsia="zh-CN"/>
        </w:rPr>
        <w:t>《补充通函》</w:t>
      </w:r>
      <w:r>
        <w:rPr>
          <w:lang w:eastAsia="zh-CN"/>
        </w:rPr>
        <w:t>），放宽了交易所买卖主基金的基金规模和往录要求。</w:t>
      </w:r>
    </w:p>
    <w:p w:rsidR="00D766C6" w:rsidRDefault="005E445A">
      <w:pPr>
        <w:pStyle w:val="BodyText"/>
        <w:rPr>
          <w:lang w:eastAsia="zh-CN"/>
        </w:rPr>
      </w:pPr>
      <w:r>
        <w:rPr>
          <w:lang w:eastAsia="zh-CN"/>
        </w:rPr>
        <w:t>修订简化合资格交易所买卖基金采用联结基金结构的规定通函</w:t>
      </w:r>
    </w:p>
    <w:p w:rsidR="00D766C6" w:rsidRDefault="005E445A">
      <w:pPr>
        <w:pStyle w:val="BodyText"/>
      </w:pPr>
      <w:r>
        <w:rPr>
          <w:lang w:eastAsia="zh-CN"/>
        </w:rPr>
        <w:t>根据修订后的通函，香港证监会将根据具体情况，授权联接交易所买卖基金投资于境外上市的交易所买卖主基金，无论交易所买卖主基金是被动管理还是主动管理。</w:t>
      </w:r>
      <w:r>
        <w:t>主要要求是交易所买卖主基金必须</w:t>
      </w:r>
      <w:r>
        <w:t>:</w:t>
      </w:r>
    </w:p>
    <w:p w:rsidR="00D766C6" w:rsidRDefault="005E445A">
      <w:pPr>
        <w:pStyle w:val="Compact"/>
        <w:numPr>
          <w:ilvl w:val="0"/>
          <w:numId w:val="3"/>
        </w:numPr>
        <w:rPr>
          <w:lang w:eastAsia="zh-CN"/>
        </w:rPr>
      </w:pPr>
      <w:r>
        <w:rPr>
          <w:lang w:eastAsia="zh-CN"/>
        </w:rPr>
        <w:t>在顾及其标的资产、投资策略、所属司法管辖区适用的规则及规例的情况下，有令人满意的保障及措施为投资者提供与证监会认可交易所买卖基金大致相同的保障；</w:t>
      </w:r>
    </w:p>
    <w:p w:rsidR="00D766C6" w:rsidRDefault="005E445A">
      <w:pPr>
        <w:pStyle w:val="Compact"/>
        <w:numPr>
          <w:ilvl w:val="0"/>
          <w:numId w:val="3"/>
        </w:numPr>
        <w:rPr>
          <w:lang w:eastAsia="zh-CN"/>
        </w:rPr>
      </w:pPr>
      <w:r>
        <w:rPr>
          <w:lang w:eastAsia="zh-CN"/>
        </w:rPr>
        <w:t>管理的资产规模庞大-</w:t>
      </w:r>
      <w:bookmarkStart w:id="0" w:name="_GoBack"/>
      <w:bookmarkEnd w:id="0"/>
      <w:r>
        <w:rPr>
          <w:lang w:eastAsia="zh-CN"/>
        </w:rPr>
        <w:t>证监会已取消对特定类型的计划</w:t>
      </w:r>
      <w:r>
        <w:rPr>
          <w:lang w:eastAsia="zh-CN"/>
        </w:rPr>
        <w:t>（基本上是由管理公司在可接受的检查制度下管理的认可司法管辖区计划或根据基金相互承认安排合资格的计划）适用简化规定的限制；和</w:t>
      </w:r>
    </w:p>
    <w:p w:rsidR="00D766C6" w:rsidRDefault="005E445A">
      <w:pPr>
        <w:pStyle w:val="Compact"/>
        <w:numPr>
          <w:ilvl w:val="0"/>
          <w:numId w:val="3"/>
        </w:numPr>
        <w:rPr>
          <w:lang w:eastAsia="zh-CN"/>
        </w:rPr>
      </w:pPr>
      <w:r>
        <w:rPr>
          <w:lang w:eastAsia="zh-CN"/>
        </w:rPr>
        <w:t>连同其管理公司及受托人</w:t>
      </w:r>
      <w:r>
        <w:rPr>
          <w:lang w:eastAsia="zh-CN"/>
        </w:rPr>
        <w:t>/</w:t>
      </w:r>
      <w:r>
        <w:rPr>
          <w:lang w:eastAsia="zh-CN"/>
        </w:rPr>
        <w:t>托管人，对其所属司法管辖区的规则及规例有良好的遵守纪录，而就交易所买卖主基金而言，则须遵守其上市地点的规则及规例。</w:t>
      </w:r>
    </w:p>
    <w:p w:rsidR="00D766C6" w:rsidRDefault="005E445A">
      <w:pPr>
        <w:pStyle w:val="FirstParagraph"/>
        <w:rPr>
          <w:lang w:eastAsia="zh-CN"/>
        </w:rPr>
      </w:pPr>
      <w:r>
        <w:rPr>
          <w:lang w:eastAsia="zh-CN"/>
        </w:rPr>
        <w:t>修订后的通函还删除了</w:t>
      </w:r>
      <w:r>
        <w:rPr>
          <w:lang w:eastAsia="zh-CN"/>
        </w:rPr>
        <w:t>2019</w:t>
      </w:r>
      <w:r>
        <w:rPr>
          <w:lang w:eastAsia="zh-CN"/>
        </w:rPr>
        <w:t>年通函和补充通函的具体基金规模和业绩记录要求。</w:t>
      </w:r>
    </w:p>
    <w:p w:rsidR="00D766C6" w:rsidRDefault="005E445A">
      <w:pPr>
        <w:pStyle w:val="BodyText"/>
        <w:rPr>
          <w:lang w:eastAsia="zh-CN"/>
        </w:rPr>
      </w:pPr>
      <w:r>
        <w:rPr>
          <w:lang w:eastAsia="zh-CN"/>
        </w:rPr>
        <w:t>交易所买卖联接基金要求</w:t>
      </w:r>
    </w:p>
    <w:p w:rsidR="00D766C6" w:rsidRDefault="005E445A">
      <w:pPr>
        <w:pStyle w:val="BodyText"/>
        <w:rPr>
          <w:lang w:eastAsia="zh-CN"/>
        </w:rPr>
      </w:pPr>
      <w:r>
        <w:rPr>
          <w:lang w:eastAsia="zh-CN"/>
        </w:rPr>
        <w:t>寻求证监会批准在香港公开发售的联接交易所买卖基金须符合以下规定：</w:t>
      </w:r>
    </w:p>
    <w:p w:rsidR="00D766C6" w:rsidRDefault="005E445A">
      <w:pPr>
        <w:pStyle w:val="Compact"/>
        <w:numPr>
          <w:ilvl w:val="0"/>
          <w:numId w:val="4"/>
        </w:numPr>
        <w:rPr>
          <w:lang w:eastAsia="zh-CN"/>
        </w:rPr>
      </w:pPr>
      <w:r>
        <w:rPr>
          <w:lang w:eastAsia="zh-CN"/>
        </w:rPr>
        <w:t>交易所买卖联接基金必须是获证监会授权在香港注册的交易所买卖基金；</w:t>
      </w:r>
    </w:p>
    <w:p w:rsidR="00D766C6" w:rsidRDefault="005E445A">
      <w:pPr>
        <w:pStyle w:val="Compact"/>
        <w:numPr>
          <w:ilvl w:val="0"/>
          <w:numId w:val="4"/>
        </w:numPr>
        <w:rPr>
          <w:lang w:eastAsia="zh-CN"/>
        </w:rPr>
      </w:pPr>
      <w:r>
        <w:rPr>
          <w:lang w:eastAsia="zh-CN"/>
        </w:rPr>
        <w:lastRenderedPageBreak/>
        <w:t>交易所买卖联接基</w:t>
      </w:r>
      <w:r>
        <w:rPr>
          <w:lang w:eastAsia="zh-CN"/>
        </w:rPr>
        <w:t>金必须由持牌或注册从事第</w:t>
      </w:r>
      <w:r>
        <w:rPr>
          <w:lang w:eastAsia="zh-CN"/>
        </w:rPr>
        <w:t>9</w:t>
      </w:r>
      <w:r>
        <w:rPr>
          <w:lang w:eastAsia="zh-CN"/>
        </w:rPr>
        <w:t>类受规管活动并有良好合规记录的管理公司管理；</w:t>
      </w:r>
    </w:p>
    <w:p w:rsidR="00D766C6" w:rsidRDefault="005E445A">
      <w:pPr>
        <w:pStyle w:val="Compact"/>
        <w:numPr>
          <w:ilvl w:val="0"/>
          <w:numId w:val="4"/>
        </w:numPr>
        <w:rPr>
          <w:lang w:eastAsia="zh-CN"/>
        </w:rPr>
      </w:pPr>
      <w:r>
        <w:rPr>
          <w:lang w:eastAsia="zh-CN"/>
        </w:rPr>
        <w:t>如果交易所买卖主基金不再符合通函所载的规定，交易所买卖联接基金的管理公司应尽快向证监会报告，并采取适当的补救行动，迅速纠正情况；及</w:t>
      </w:r>
    </w:p>
    <w:p w:rsidR="00D766C6" w:rsidRDefault="005E445A">
      <w:pPr>
        <w:pStyle w:val="Compact"/>
        <w:numPr>
          <w:ilvl w:val="0"/>
          <w:numId w:val="4"/>
        </w:numPr>
        <w:rPr>
          <w:lang w:eastAsia="zh-CN"/>
        </w:rPr>
      </w:pPr>
      <w:r>
        <w:rPr>
          <w:lang w:eastAsia="zh-CN"/>
        </w:rPr>
        <w:t>交易所买卖联接基金的管理公司应作出适当安排，及时通知香港投资者交易所买卖主基金的任何重大变动或对其有重大不利影响的事件。</w:t>
      </w:r>
    </w:p>
    <w:p w:rsidR="00D766C6" w:rsidRDefault="005E445A">
      <w:pPr>
        <w:pStyle w:val="FirstParagraph"/>
        <w:rPr>
          <w:lang w:eastAsia="zh-CN"/>
        </w:rPr>
      </w:pPr>
      <w:r>
        <w:rPr>
          <w:lang w:eastAsia="zh-CN"/>
        </w:rPr>
        <w:t>证监会如认为有需要或适当，可考虑引入额外规定或条件。</w:t>
      </w:r>
    </w:p>
    <w:p w:rsidR="00D766C6" w:rsidRDefault="005E445A">
      <w:pPr>
        <w:pStyle w:val="BodyText"/>
        <w:rPr>
          <w:lang w:eastAsia="zh-CN"/>
        </w:rPr>
      </w:pPr>
      <w:r>
        <w:rPr>
          <w:lang w:eastAsia="zh-CN"/>
        </w:rPr>
        <w:t>交易所买卖联接基金亦必须遵守证监会有关单位信托基金及互惠基金守则、与投资有关的人寿保险计划及非上市结构性投资产品的手册的总体原则部分</w:t>
      </w:r>
      <w:r>
        <w:rPr>
          <w:lang w:eastAsia="zh-CN"/>
        </w:rPr>
        <w:t>及所有其他适用的证监会规管规定及指引。</w:t>
      </w:r>
    </w:p>
    <w:p w:rsidR="00D766C6" w:rsidRDefault="005E445A">
      <w:pPr>
        <w:pStyle w:val="BodyText"/>
        <w:rPr>
          <w:lang w:eastAsia="zh-CN"/>
        </w:rPr>
      </w:pPr>
      <w:r>
        <w:rPr>
          <w:lang w:eastAsia="zh-CN"/>
        </w:rPr>
        <w:t>香港证监会强调，在修订采用联接基金结构的交易所买卖基金规定时，有意平衡投资者保护和市场发展的需要。香港证监会认为，放宽限制将提高香港在吸引海外交易所买卖基金方面的竞争力。</w:t>
      </w:r>
    </w:p>
    <w:p w:rsidR="00D766C6" w:rsidRDefault="005E445A">
      <w:pPr>
        <w:pStyle w:val="BodyText"/>
        <w:rPr>
          <w:lang w:eastAsia="zh-CN"/>
        </w:rPr>
      </w:pPr>
      <w:r>
        <w:rPr>
          <w:lang w:eastAsia="zh-CN"/>
        </w:rPr>
        <w:t>证监会的修订通函可于证监会网页</w:t>
      </w:r>
      <w:r>
        <w:rPr>
          <w:lang w:eastAsia="zh-CN"/>
        </w:rPr>
        <w:t>(</w:t>
      </w:r>
      <w:hyperlink r:id="rId11">
        <w:r>
          <w:rPr>
            <w:lang w:eastAsia="zh-CN"/>
          </w:rPr>
          <w:t>此</w:t>
        </w:r>
      </w:hyperlink>
      <w:r>
        <w:rPr>
          <w:lang w:eastAsia="zh-CN"/>
        </w:rPr>
        <w:t>)</w:t>
      </w:r>
      <w:r>
        <w:rPr>
          <w:lang w:eastAsia="zh-CN"/>
        </w:rPr>
        <w:t>阅览。</w:t>
      </w:r>
    </w:p>
    <w:p w:rsidR="00D766C6" w:rsidRDefault="005E445A">
      <w:pPr>
        <w:pStyle w:val="BodyText"/>
        <w:rPr>
          <w:lang w:eastAsia="zh-CN"/>
        </w:rPr>
      </w:pPr>
      <w:hyperlink w:anchor="footnote-598-1-backlink">
        <w:r>
          <w:rPr>
            <w:lang w:eastAsia="zh-CN"/>
          </w:rPr>
          <w:t>1</w:t>
        </w:r>
      </w:hyperlink>
      <w:r>
        <w:rPr>
          <w:lang w:eastAsia="zh-CN"/>
        </w:rPr>
        <w:t xml:space="preserve"> </w:t>
      </w:r>
      <w:r>
        <w:rPr>
          <w:lang w:eastAsia="zh-CN"/>
        </w:rPr>
        <w:t>证监会《单位信托基金及互惠基金守则》第</w:t>
      </w:r>
      <w:r>
        <w:rPr>
          <w:lang w:eastAsia="zh-CN"/>
        </w:rPr>
        <w:t>7.12</w:t>
      </w:r>
      <w:r>
        <w:rPr>
          <w:lang w:eastAsia="zh-CN"/>
        </w:rPr>
        <w:t>段</w:t>
      </w:r>
    </w:p>
    <w:p w:rsidR="00D766C6" w:rsidRDefault="005E445A">
      <w:pPr>
        <w:pStyle w:val="DisclaimerBold"/>
        <w:rPr>
          <w:lang w:eastAsia="zh-CN"/>
        </w:rPr>
      </w:pPr>
      <w:r>
        <w:rPr>
          <w:lang w:eastAsia="zh-CN"/>
        </w:rPr>
        <w:t>此法讯仅为提供相关资料信息之用，其内容并</w:t>
      </w:r>
    </w:p>
    <w:p w:rsidR="00D766C6" w:rsidRDefault="005E445A">
      <w:pPr>
        <w:pStyle w:val="Disclaimer"/>
        <w:rPr>
          <w:lang w:eastAsia="zh-CN"/>
        </w:rPr>
      </w:pPr>
      <w:r>
        <w:rPr>
          <w:lang w:eastAsia="zh-CN"/>
        </w:rPr>
        <w:t>不构成法律建议及个案的法律分析。</w:t>
      </w:r>
    </w:p>
    <w:p w:rsidR="00D766C6" w:rsidRDefault="005E445A">
      <w:pPr>
        <w:pStyle w:val="Disclaimer"/>
        <w:rPr>
          <w:lang w:eastAsia="zh-CN"/>
        </w:rPr>
      </w:pPr>
      <w:r>
        <w:rPr>
          <w:lang w:eastAsia="zh-CN"/>
        </w:rPr>
        <w:t>此法讯的发送并不是为了在易周律师行与用户或浏览者之间建立一种律师与客户之关系。</w:t>
      </w:r>
    </w:p>
    <w:p w:rsidR="00D766C6" w:rsidRDefault="005E445A">
      <w:pPr>
        <w:pStyle w:val="Disclaimer"/>
        <w:rPr>
          <w:lang w:eastAsia="zh-CN"/>
        </w:rPr>
      </w:pPr>
      <w:r>
        <w:rPr>
          <w:lang w:eastAsia="zh-CN"/>
        </w:rPr>
        <w:t>易周律师行并不对可从互联网获得的任何第三方内容负责。</w:t>
      </w:r>
    </w:p>
    <w:p w:rsidR="00D766C6" w:rsidRDefault="005E445A">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D766C6" w:rsidRDefault="005E445A">
      <w:pPr>
        <w:pStyle w:val="BlackStrips"/>
      </w:pPr>
      <w:r>
        <w:t xml:space="preserve">Charltons - </w:t>
      </w:r>
      <w:r>
        <w:t>香港法律</w:t>
      </w:r>
      <w:r>
        <w:t xml:space="preserve"> - 2024</w:t>
      </w:r>
      <w:r>
        <w:t>年</w:t>
      </w:r>
      <w:r>
        <w:t>10</w:t>
      </w:r>
      <w:r>
        <w:t>月</w:t>
      </w:r>
      <w:r>
        <w:t>3</w:t>
      </w:r>
      <w:r>
        <w:t>日</w:t>
      </w:r>
    </w:p>
    <w:sectPr w:rsidR="00D766C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445A">
      <w:pPr>
        <w:spacing w:after="0"/>
      </w:pPr>
      <w:r>
        <w:separator/>
      </w:r>
    </w:p>
  </w:endnote>
  <w:endnote w:type="continuationSeparator" w:id="0">
    <w:p w:rsidR="00000000" w:rsidRDefault="005E4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altName w:val="微软雅黑"/>
    <w:panose1 w:val="020B0503020204020204"/>
    <w:charset w:val="86"/>
    <w:family w:val="roman"/>
    <w:pitch w:val="default"/>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C6" w:rsidRDefault="005E445A">
      <w:r>
        <w:separator/>
      </w:r>
    </w:p>
  </w:footnote>
  <w:footnote w:type="continuationSeparator" w:id="0">
    <w:p w:rsidR="00D766C6" w:rsidRDefault="005E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746CD1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0E9019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25E12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5E445A"/>
    <w:rsid w:val="00784D58"/>
    <w:rsid w:val="008D6863"/>
    <w:rsid w:val="00B86B75"/>
    <w:rsid w:val="00BC48D5"/>
    <w:rsid w:val="00C36279"/>
    <w:rsid w:val="00D766C6"/>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18EC"/>
  <w15:docId w15:val="{88A419DC-C9F6-4CDD-86FF-223CCE00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circular/doc?refNo=24EC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zheng-jian-hui-tuo-kuan-cai-yong-lian-jie-ji-jin-jie-gou-de-jiao-yi-suo-mai-mai-ji-jin-de-huo-mian-fan-wei"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gateway/EN/circular/doc?refNo=24EC24" TargetMode="External"/><Relationship Id="rId5" Type="http://schemas.openxmlformats.org/officeDocument/2006/relationships/footnotes" Target="footnotes.xml"/><Relationship Id="rId10" Type="http://schemas.openxmlformats.org/officeDocument/2006/relationships/hyperlink" Target="https://apps.sfc.hk/edistributionWeb/gateway/EN/circular/doc?refNo=22EC16" TargetMode="External"/><Relationship Id="rId4" Type="http://schemas.openxmlformats.org/officeDocument/2006/relationships/webSettings" Target="webSettings.xml"/><Relationship Id="rId9" Type="http://schemas.openxmlformats.org/officeDocument/2006/relationships/hyperlink" Target="https://apps.sfc.hk/edistributionWeb/gateway/EN/circular/doc?refNo=19EC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390</Words>
  <Characters>2226</Characters>
  <Application>Microsoft Office Word</Application>
  <DocSecurity>0</DocSecurity>
  <Lines>18</Lines>
  <Paragraphs>5</Paragraphs>
  <ScaleCrop>false</ScaleCrop>
  <Company>Charltons</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2024-10-03T02:56:00Z</dcterms:created>
  <dcterms:modified xsi:type="dcterms:W3CDTF">2024-10-03T03:13:00Z</dcterms:modified>
</cp:coreProperties>
</file>