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021" w:rsidRDefault="00E67BC9">
      <w:pPr>
        <w:pStyle w:val="BlackStrips"/>
      </w:pPr>
      <w:r>
        <w:t xml:space="preserve">Charltons - </w:t>
      </w:r>
      <w:r>
        <w:t>香港法律</w:t>
      </w:r>
      <w:r>
        <w:t xml:space="preserve"> - 2024</w:t>
      </w:r>
      <w:r>
        <w:t>年</w:t>
      </w:r>
      <w:r>
        <w:t>8</w:t>
      </w:r>
      <w:r>
        <w:t>月</w:t>
      </w:r>
      <w:r>
        <w:t>20</w:t>
      </w:r>
      <w:r>
        <w:t>日</w:t>
      </w:r>
    </w:p>
    <w:p w:rsidR="002F3021" w:rsidRDefault="00E67BC9">
      <w:pPr>
        <w:pStyle w:val="ReadOnline"/>
        <w:rPr>
          <w:lang w:eastAsia="zh-CN"/>
        </w:rPr>
      </w:pPr>
      <w:hyperlink r:id="rId7">
        <w:r>
          <w:rPr>
            <w:lang w:eastAsia="zh-CN"/>
          </w:rPr>
          <w:t>online version</w:t>
        </w:r>
      </w:hyperlink>
    </w:p>
    <w:p w:rsidR="002F3021" w:rsidRDefault="00E67BC9">
      <w:pPr>
        <w:pStyle w:val="Title"/>
        <w:rPr>
          <w:lang w:eastAsia="zh-CN"/>
        </w:rPr>
      </w:pPr>
      <w:r>
        <w:rPr>
          <w:lang w:eastAsia="zh-CN"/>
        </w:rPr>
        <w:t>梁凤仪说香港需要一个蓬勃的中小企业集资董事会</w:t>
      </w:r>
    </w:p>
    <w:p w:rsidR="002F3021" w:rsidRDefault="00E67BC9">
      <w:pPr>
        <w:pStyle w:val="FirstParagraph"/>
        <w:rPr>
          <w:lang w:eastAsia="zh-CN"/>
        </w:rPr>
      </w:pPr>
      <w:r>
        <w:rPr>
          <w:lang w:eastAsia="zh-CN"/>
        </w:rPr>
        <w:t>谈及</w:t>
      </w:r>
      <w:r>
        <w:rPr>
          <w:lang w:eastAsia="zh-CN"/>
        </w:rPr>
        <w:t>“</w:t>
      </w:r>
      <w:hyperlink r:id="rId8">
        <w:r>
          <w:rPr>
            <w:lang w:eastAsia="zh-CN"/>
          </w:rPr>
          <w:t>为香港小型股建立可持续和稳健的市场生态</w:t>
        </w:r>
      </w:hyperlink>
      <w:r>
        <w:rPr>
          <w:lang w:eastAsia="zh-CN"/>
        </w:rPr>
        <w:t>”,</w:t>
      </w:r>
      <w:hyperlink w:anchor="footnote-598-1">
        <w:r>
          <w:rPr>
            <w:vertAlign w:val="superscript"/>
            <w:lang w:eastAsia="zh-CN"/>
          </w:rPr>
          <w:t>1</w:t>
        </w:r>
      </w:hyperlink>
      <w:r>
        <w:rPr>
          <w:lang w:eastAsia="zh-CN"/>
        </w:rPr>
        <w:t>香港证监会行政总裁梁凤仪女士强调香港需要发展一个可持续发展的小</w:t>
      </w:r>
      <w:r>
        <w:rPr>
          <w:lang w:eastAsia="zh-CN"/>
        </w:rPr>
        <w:t>型股市场，以满足中小型企业和投资者的需要。梁女士指出，今年的</w:t>
      </w:r>
      <w:hyperlink r:id="rId9">
        <w:r>
          <w:rPr>
            <w:lang w:eastAsia="zh-CN"/>
          </w:rPr>
          <w:t>财政预算案</w:t>
        </w:r>
      </w:hyperlink>
      <w:r>
        <w:rPr>
          <w:lang w:eastAsia="zh-CN"/>
        </w:rPr>
        <w:t>承诺为</w:t>
      </w:r>
      <w:r>
        <w:rPr>
          <w:lang w:eastAsia="zh-CN"/>
        </w:rPr>
        <w:t>GEM</w:t>
      </w:r>
      <w:r>
        <w:rPr>
          <w:lang w:eastAsia="zh-CN"/>
        </w:rPr>
        <w:t>提出改革建议</w:t>
      </w:r>
      <w:hyperlink w:anchor="footnote-598-2">
        <w:r>
          <w:rPr>
            <w:vertAlign w:val="superscript"/>
            <w:lang w:eastAsia="zh-CN"/>
          </w:rPr>
          <w:t>2</w:t>
        </w:r>
      </w:hyperlink>
      <w:r>
        <w:rPr>
          <w:lang w:eastAsia="zh-CN"/>
        </w:rPr>
        <w:t>，以解决中小企业和初创企业的资金需求。她表示，香港需要</w:t>
      </w:r>
      <w:r>
        <w:rPr>
          <w:lang w:eastAsia="zh-CN"/>
        </w:rPr>
        <w:t>“</w:t>
      </w:r>
      <w:r>
        <w:rPr>
          <w:i/>
          <w:lang w:eastAsia="zh-CN"/>
        </w:rPr>
        <w:t>恢复投资者的信心，以及为优质成长型企业设立初级板的初衷</w:t>
      </w:r>
      <w:r>
        <w:rPr>
          <w:lang w:eastAsia="zh-CN"/>
        </w:rPr>
        <w:t>”</w:t>
      </w:r>
      <w:r>
        <w:rPr>
          <w:lang w:eastAsia="zh-CN"/>
        </w:rPr>
        <w:t>。</w:t>
      </w:r>
    </w:p>
    <w:p w:rsidR="002F3021" w:rsidRDefault="00E67BC9">
      <w:pPr>
        <w:pStyle w:val="BodyText"/>
        <w:rPr>
          <w:lang w:eastAsia="zh-CN"/>
        </w:rPr>
      </w:pPr>
      <w:r>
        <w:rPr>
          <w:lang w:eastAsia="zh-CN"/>
        </w:rPr>
        <w:t>打击香港市场的失当行为</w:t>
      </w:r>
    </w:p>
    <w:p w:rsidR="002F3021" w:rsidRDefault="00E67BC9">
      <w:pPr>
        <w:pStyle w:val="BodyText"/>
        <w:rPr>
          <w:lang w:eastAsia="zh-CN"/>
        </w:rPr>
      </w:pPr>
      <w:r>
        <w:rPr>
          <w:lang w:eastAsia="zh-CN"/>
        </w:rPr>
        <w:t>梁指出，市场失当行为可能对投资</w:t>
      </w:r>
      <w:r>
        <w:rPr>
          <w:lang w:eastAsia="zh-CN"/>
        </w:rPr>
        <w:t>者信心造成损害，她特别指出了</w:t>
      </w:r>
      <w:r>
        <w:rPr>
          <w:lang w:eastAsia="zh-CN"/>
        </w:rPr>
        <w:t>“</w:t>
      </w:r>
      <w:r>
        <w:rPr>
          <w:lang w:eastAsia="zh-CN"/>
        </w:rPr>
        <w:t>唱高散货</w:t>
      </w:r>
      <w:r>
        <w:rPr>
          <w:lang w:eastAsia="zh-CN"/>
        </w:rPr>
        <w:t>”</w:t>
      </w:r>
      <w:r>
        <w:rPr>
          <w:lang w:eastAsia="zh-CN"/>
        </w:rPr>
        <w:t>骗局，即欺诈者推高股价，并通过社交媒体平台诱使不虞有诈的投资者买入流动性低的股票，再将股票抛售。香港证监会在</w:t>
      </w:r>
      <w:r>
        <w:rPr>
          <w:lang w:eastAsia="zh-CN"/>
        </w:rPr>
        <w:t>2020</w:t>
      </w:r>
      <w:r>
        <w:rPr>
          <w:lang w:eastAsia="zh-CN"/>
        </w:rPr>
        <w:t>年</w:t>
      </w:r>
      <w:r>
        <w:rPr>
          <w:lang w:eastAsia="zh-CN"/>
        </w:rPr>
        <w:t>1</w:t>
      </w:r>
      <w:r>
        <w:rPr>
          <w:lang w:eastAsia="zh-CN"/>
        </w:rPr>
        <w:t>月至</w:t>
      </w:r>
      <w:r>
        <w:rPr>
          <w:lang w:eastAsia="zh-CN"/>
        </w:rPr>
        <w:t>2022</w:t>
      </w:r>
      <w:r>
        <w:rPr>
          <w:lang w:eastAsia="zh-CN"/>
        </w:rPr>
        <w:t>年</w:t>
      </w:r>
      <w:r>
        <w:rPr>
          <w:lang w:eastAsia="zh-CN"/>
        </w:rPr>
        <w:t>12</w:t>
      </w:r>
      <w:r>
        <w:rPr>
          <w:lang w:eastAsia="zh-CN"/>
        </w:rPr>
        <w:t>月期间，冻结了价值约</w:t>
      </w:r>
      <w:r>
        <w:rPr>
          <w:lang w:eastAsia="zh-CN"/>
        </w:rPr>
        <w:t>9</w:t>
      </w:r>
      <w:r>
        <w:rPr>
          <w:lang w:eastAsia="zh-CN"/>
        </w:rPr>
        <w:t>亿港元的</w:t>
      </w:r>
      <w:r>
        <w:rPr>
          <w:lang w:eastAsia="zh-CN"/>
        </w:rPr>
        <w:t>“</w:t>
      </w:r>
      <w:r>
        <w:rPr>
          <w:lang w:eastAsia="zh-CN"/>
        </w:rPr>
        <w:t>唱高散货</w:t>
      </w:r>
      <w:r>
        <w:rPr>
          <w:lang w:eastAsia="zh-CN"/>
        </w:rPr>
        <w:t>”</w:t>
      </w:r>
      <w:r>
        <w:rPr>
          <w:lang w:eastAsia="zh-CN"/>
        </w:rPr>
        <w:t>骗局资产。</w:t>
      </w:r>
      <w:hyperlink w:anchor="footnote-598-3">
        <w:r>
          <w:rPr>
            <w:vertAlign w:val="superscript"/>
            <w:lang w:eastAsia="zh-CN"/>
          </w:rPr>
          <w:t>3</w:t>
        </w:r>
      </w:hyperlink>
      <w:r>
        <w:rPr>
          <w:lang w:eastAsia="zh-CN"/>
        </w:rPr>
        <w:t xml:space="preserve"> </w:t>
      </w:r>
      <w:r>
        <w:rPr>
          <w:lang w:eastAsia="zh-CN"/>
        </w:rPr>
        <w:t>其调查发现，这些计划非常复杂和精心策划。</w:t>
      </w:r>
    </w:p>
    <w:p w:rsidR="002F3021" w:rsidRDefault="00E67BC9">
      <w:pPr>
        <w:pStyle w:val="BodyText"/>
        <w:rPr>
          <w:lang w:eastAsia="zh-CN"/>
        </w:rPr>
      </w:pPr>
      <w:r>
        <w:rPr>
          <w:lang w:eastAsia="zh-CN"/>
        </w:rPr>
        <w:t>虽然只涉及少数小型股，但</w:t>
      </w:r>
      <w:r>
        <w:rPr>
          <w:lang w:eastAsia="zh-CN"/>
        </w:rPr>
        <w:t>“</w:t>
      </w:r>
      <w:r>
        <w:rPr>
          <w:lang w:eastAsia="zh-CN"/>
        </w:rPr>
        <w:t>唱高散货</w:t>
      </w:r>
      <w:r>
        <w:rPr>
          <w:lang w:eastAsia="zh-CN"/>
        </w:rPr>
        <w:t>”</w:t>
      </w:r>
      <w:r>
        <w:rPr>
          <w:lang w:eastAsia="zh-CN"/>
        </w:rPr>
        <w:t>骗局会给投资者造成重大损失，并削弱投资者对香港市场的信心，对小型股公司的流动性和估值产生不利影响。</w:t>
      </w:r>
    </w:p>
    <w:p w:rsidR="002F3021" w:rsidRDefault="00E67BC9">
      <w:pPr>
        <w:pStyle w:val="BodyText"/>
        <w:rPr>
          <w:lang w:eastAsia="zh-CN"/>
        </w:rPr>
      </w:pPr>
      <w:r>
        <w:rPr>
          <w:lang w:eastAsia="zh-CN"/>
        </w:rPr>
        <w:t>香港小型股流动性低迷</w:t>
      </w:r>
    </w:p>
    <w:p w:rsidR="002F3021" w:rsidRDefault="00E67BC9">
      <w:pPr>
        <w:pStyle w:val="BodyText"/>
        <w:rPr>
          <w:lang w:eastAsia="zh-CN"/>
        </w:rPr>
      </w:pPr>
      <w:r>
        <w:rPr>
          <w:lang w:eastAsia="zh-CN"/>
        </w:rPr>
        <w:t>过去</w:t>
      </w:r>
      <w:r>
        <w:rPr>
          <w:lang w:eastAsia="zh-CN"/>
        </w:rPr>
        <w:t>10</w:t>
      </w:r>
      <w:r>
        <w:rPr>
          <w:lang w:eastAsia="zh-CN"/>
        </w:rPr>
        <w:t>年，香港股票市场的总市值增长了</w:t>
      </w:r>
      <w:r>
        <w:rPr>
          <w:lang w:eastAsia="zh-CN"/>
        </w:rPr>
        <w:t>62%</w:t>
      </w:r>
      <w:r>
        <w:rPr>
          <w:lang w:eastAsia="zh-CN"/>
        </w:rPr>
        <w:t>，平均每日市场成交额上升逾一倍。</w:t>
      </w:r>
      <w:hyperlink w:anchor="footnote-598-4">
        <w:r>
          <w:rPr>
            <w:vertAlign w:val="superscript"/>
            <w:lang w:eastAsia="zh-CN"/>
          </w:rPr>
          <w:t>4</w:t>
        </w:r>
      </w:hyperlink>
      <w:r>
        <w:rPr>
          <w:lang w:eastAsia="zh-CN"/>
        </w:rPr>
        <w:t xml:space="preserve"> </w:t>
      </w:r>
      <w:r>
        <w:rPr>
          <w:lang w:eastAsia="zh-CN"/>
        </w:rPr>
        <w:t>上市公司数量从</w:t>
      </w:r>
      <w:r>
        <w:rPr>
          <w:lang w:eastAsia="zh-CN"/>
        </w:rPr>
        <w:t>1500</w:t>
      </w:r>
      <w:r>
        <w:rPr>
          <w:lang w:eastAsia="zh-CN"/>
        </w:rPr>
        <w:t>家增加到</w:t>
      </w:r>
      <w:r>
        <w:rPr>
          <w:lang w:eastAsia="zh-CN"/>
        </w:rPr>
        <w:t>2600</w:t>
      </w:r>
      <w:r>
        <w:rPr>
          <w:lang w:eastAsia="zh-CN"/>
        </w:rPr>
        <w:t>家左右，</w:t>
      </w:r>
      <w:hyperlink w:anchor="footnote-598-5">
        <w:r>
          <w:rPr>
            <w:vertAlign w:val="superscript"/>
            <w:lang w:eastAsia="zh-CN"/>
          </w:rPr>
          <w:t>5</w:t>
        </w:r>
      </w:hyperlink>
      <w:r>
        <w:rPr>
          <w:lang w:eastAsia="zh-CN"/>
        </w:rPr>
        <w:t xml:space="preserve"> </w:t>
      </w:r>
      <w:r>
        <w:rPr>
          <w:lang w:eastAsia="zh-CN"/>
        </w:rPr>
        <w:t>而创纪录的融资额使联交所在全球</w:t>
      </w:r>
      <w:r>
        <w:rPr>
          <w:lang w:eastAsia="zh-CN"/>
        </w:rPr>
        <w:t>IPO</w:t>
      </w:r>
      <w:r>
        <w:rPr>
          <w:lang w:eastAsia="zh-CN"/>
        </w:rPr>
        <w:t>融资排名中位居榜首，在过去</w:t>
      </w:r>
      <w:r>
        <w:rPr>
          <w:lang w:eastAsia="zh-CN"/>
        </w:rPr>
        <w:t>10</w:t>
      </w:r>
      <w:r>
        <w:rPr>
          <w:lang w:eastAsia="zh-CN"/>
        </w:rPr>
        <w:t>年里，联交所有</w:t>
      </w:r>
      <w:r>
        <w:rPr>
          <w:lang w:eastAsia="zh-CN"/>
        </w:rPr>
        <w:t>4</w:t>
      </w:r>
      <w:r>
        <w:rPr>
          <w:lang w:eastAsia="zh-CN"/>
        </w:rPr>
        <w:t>年是全球最大的</w:t>
      </w:r>
      <w:r>
        <w:rPr>
          <w:lang w:eastAsia="zh-CN"/>
        </w:rPr>
        <w:t>IPO</w:t>
      </w:r>
      <w:r>
        <w:rPr>
          <w:lang w:eastAsia="zh-CN"/>
        </w:rPr>
        <w:t>融资市场。</w:t>
      </w:r>
    </w:p>
    <w:p w:rsidR="002F3021" w:rsidRDefault="00E67BC9">
      <w:pPr>
        <w:pStyle w:val="BodyText"/>
        <w:rPr>
          <w:lang w:eastAsia="zh-CN"/>
        </w:rPr>
      </w:pPr>
      <w:r>
        <w:rPr>
          <w:lang w:eastAsia="zh-CN"/>
        </w:rPr>
        <w:t>然而，尽管联交所在吸引首次上市方面取得了成功，但二级市场的交易和流动性仍集中在市值最高的</w:t>
      </w:r>
      <w:r>
        <w:rPr>
          <w:lang w:eastAsia="zh-CN"/>
        </w:rPr>
        <w:t>250</w:t>
      </w:r>
      <w:r>
        <w:rPr>
          <w:lang w:eastAsia="zh-CN"/>
        </w:rPr>
        <w:t>只股票中。尽管小型股在股票数量</w:t>
      </w:r>
      <w:r>
        <w:rPr>
          <w:lang w:eastAsia="zh-CN"/>
        </w:rPr>
        <w:t>和市值方面有所增长，但在过去十年中，它们在市场成交量中的份额有所缩减。截至</w:t>
      </w:r>
      <w:r>
        <w:rPr>
          <w:lang w:eastAsia="zh-CN"/>
        </w:rPr>
        <w:t>2022</w:t>
      </w:r>
      <w:r>
        <w:rPr>
          <w:lang w:eastAsia="zh-CN"/>
        </w:rPr>
        <w:t>年底，市值不足五亿港元的上市公司约有</w:t>
      </w:r>
      <w:r>
        <w:rPr>
          <w:lang w:eastAsia="zh-CN"/>
        </w:rPr>
        <w:t>1100</w:t>
      </w:r>
      <w:r>
        <w:rPr>
          <w:lang w:eastAsia="zh-CN"/>
        </w:rPr>
        <w:t>家，占总市值的</w:t>
      </w:r>
      <w:r>
        <w:rPr>
          <w:lang w:eastAsia="zh-CN"/>
        </w:rPr>
        <w:t>40%</w:t>
      </w:r>
      <w:r>
        <w:rPr>
          <w:lang w:eastAsia="zh-CN"/>
        </w:rPr>
        <w:t>。当中绝大部分公司的每日成交额少于十万港元。</w:t>
      </w:r>
      <w:hyperlink w:anchor="footnote-598-6">
        <w:r>
          <w:rPr>
            <w:vertAlign w:val="superscript"/>
            <w:lang w:eastAsia="zh-CN"/>
          </w:rPr>
          <w:t>6</w:t>
        </w:r>
      </w:hyperlink>
    </w:p>
    <w:p w:rsidR="002F3021" w:rsidRDefault="00E67BC9">
      <w:pPr>
        <w:pStyle w:val="BodyText"/>
        <w:rPr>
          <w:lang w:eastAsia="zh-CN"/>
        </w:rPr>
      </w:pPr>
      <w:r>
        <w:rPr>
          <w:lang w:eastAsia="zh-CN"/>
        </w:rPr>
        <w:t>虽然机构对小型股的持有量往往较低，但香港的情况尤其明显，而且由于过去</w:t>
      </w:r>
      <w:r>
        <w:rPr>
          <w:lang w:eastAsia="zh-CN"/>
        </w:rPr>
        <w:t>10</w:t>
      </w:r>
      <w:r>
        <w:rPr>
          <w:lang w:eastAsia="zh-CN"/>
        </w:rPr>
        <w:t>年香港股市的散户参与度缺乏增长，这种情况更加严重。根据香港交易所的现金市场交易调查，过去十年，以美元计算，散户投资者的交易量相对停滞不前，而其占市场总交易量的份额则从</w:t>
      </w:r>
      <w:r>
        <w:rPr>
          <w:lang w:eastAsia="zh-CN"/>
        </w:rPr>
        <w:t>201</w:t>
      </w:r>
      <w:r>
        <w:rPr>
          <w:lang w:eastAsia="zh-CN"/>
        </w:rPr>
        <w:t>0</w:t>
      </w:r>
      <w:r>
        <w:rPr>
          <w:lang w:eastAsia="zh-CN"/>
        </w:rPr>
        <w:t>年的</w:t>
      </w:r>
      <w:r>
        <w:rPr>
          <w:lang w:eastAsia="zh-CN"/>
        </w:rPr>
        <w:t>25.8%</w:t>
      </w:r>
      <w:hyperlink w:anchor="footnote-598-7">
        <w:r>
          <w:rPr>
            <w:vertAlign w:val="superscript"/>
            <w:lang w:eastAsia="zh-CN"/>
          </w:rPr>
          <w:t>7</w:t>
        </w:r>
      </w:hyperlink>
      <w:r>
        <w:rPr>
          <w:lang w:eastAsia="zh-CN"/>
        </w:rPr>
        <w:t>下降至</w:t>
      </w:r>
      <w:r>
        <w:rPr>
          <w:lang w:eastAsia="zh-CN"/>
        </w:rPr>
        <w:t>2020</w:t>
      </w:r>
      <w:r>
        <w:rPr>
          <w:lang w:eastAsia="zh-CN"/>
        </w:rPr>
        <w:t>年的</w:t>
      </w:r>
      <w:r>
        <w:rPr>
          <w:lang w:eastAsia="zh-CN"/>
        </w:rPr>
        <w:t>15.5%</w:t>
      </w:r>
      <w:r>
        <w:rPr>
          <w:lang w:eastAsia="zh-CN"/>
        </w:rPr>
        <w:t>。</w:t>
      </w:r>
      <w:hyperlink w:anchor="footnote-598-8">
        <w:r>
          <w:rPr>
            <w:vertAlign w:val="superscript"/>
            <w:lang w:eastAsia="zh-CN"/>
          </w:rPr>
          <w:t>8</w:t>
        </w:r>
      </w:hyperlink>
    </w:p>
    <w:p w:rsidR="002F3021" w:rsidRDefault="00E67BC9">
      <w:pPr>
        <w:pStyle w:val="BodyText"/>
        <w:rPr>
          <w:lang w:eastAsia="zh-CN"/>
        </w:rPr>
      </w:pPr>
      <w:r>
        <w:rPr>
          <w:lang w:eastAsia="zh-CN"/>
        </w:rPr>
        <w:t>与此同时，小型股上市的数目在过去十年急增，导致有更多小型股基本上摊分并争逐散户投资者的同一资金池。</w:t>
      </w:r>
    </w:p>
    <w:p w:rsidR="002F3021" w:rsidRDefault="00E67BC9">
      <w:pPr>
        <w:pStyle w:val="BodyText"/>
        <w:rPr>
          <w:lang w:eastAsia="zh-CN"/>
        </w:rPr>
      </w:pPr>
      <w:r>
        <w:rPr>
          <w:lang w:eastAsia="zh-CN"/>
        </w:rPr>
        <w:t>2015</w:t>
      </w:r>
      <w:r>
        <w:rPr>
          <w:lang w:eastAsia="zh-CN"/>
        </w:rPr>
        <w:t>年至</w:t>
      </w:r>
      <w:r>
        <w:rPr>
          <w:lang w:eastAsia="zh-CN"/>
        </w:rPr>
        <w:t>2018</w:t>
      </w:r>
      <w:r>
        <w:rPr>
          <w:lang w:eastAsia="zh-CN"/>
        </w:rPr>
        <w:t>年期间小型股数目暴增</w:t>
      </w:r>
    </w:p>
    <w:p w:rsidR="002F3021" w:rsidRDefault="00E67BC9">
      <w:pPr>
        <w:pStyle w:val="BodyText"/>
        <w:rPr>
          <w:lang w:eastAsia="zh-CN"/>
        </w:rPr>
      </w:pPr>
      <w:r>
        <w:rPr>
          <w:lang w:eastAsia="zh-CN"/>
        </w:rPr>
        <w:t>2015</w:t>
      </w:r>
      <w:r>
        <w:rPr>
          <w:lang w:eastAsia="zh-CN"/>
        </w:rPr>
        <w:t>年至</w:t>
      </w:r>
      <w:r>
        <w:rPr>
          <w:lang w:eastAsia="zh-CN"/>
        </w:rPr>
        <w:t>2018</w:t>
      </w:r>
      <w:r>
        <w:rPr>
          <w:lang w:eastAsia="zh-CN"/>
        </w:rPr>
        <w:t>年期间，小型股公司数量的增长速度尤其快。香港证监会将这种现象部分归因于</w:t>
      </w:r>
      <w:r>
        <w:rPr>
          <w:lang w:eastAsia="zh-CN"/>
        </w:rPr>
        <w:t>“</w:t>
      </w:r>
      <w:r>
        <w:rPr>
          <w:lang w:eastAsia="zh-CN"/>
        </w:rPr>
        <w:t>造壳活动</w:t>
      </w:r>
      <w:r>
        <w:rPr>
          <w:lang w:eastAsia="zh-CN"/>
        </w:rPr>
        <w:t>”</w:t>
      </w:r>
      <w:r>
        <w:rPr>
          <w:lang w:eastAsia="zh-CN"/>
        </w:rPr>
        <w:t>，指出在此期间上市的公司中，约有一半的初始市值不到</w:t>
      </w:r>
      <w:r>
        <w:rPr>
          <w:lang w:eastAsia="zh-CN"/>
        </w:rPr>
        <w:t>5</w:t>
      </w:r>
      <w:r>
        <w:rPr>
          <w:lang w:eastAsia="zh-CN"/>
        </w:rPr>
        <w:t>亿港元。许多满足</w:t>
      </w:r>
      <w:r>
        <w:rPr>
          <w:lang w:eastAsia="zh-CN"/>
        </w:rPr>
        <w:t>当时</w:t>
      </w:r>
      <w:r>
        <w:rPr>
          <w:lang w:eastAsia="zh-CN"/>
        </w:rPr>
        <w:t>GEM</w:t>
      </w:r>
      <w:r>
        <w:rPr>
          <w:lang w:eastAsia="zh-CN"/>
        </w:rPr>
        <w:t>（前称创业板）的最低现金流规定或主板的最低盈利规定的企业，愿意承担让自己的公司上市的巨大上市开支。这些费用有时可能相当于首次公开招股集资额一半以上。梁女士指出，在某些情况下，新上市公司随后会将其业务售回控股股东，藉以制造</w:t>
      </w:r>
      <w:r>
        <w:rPr>
          <w:lang w:eastAsia="zh-CN"/>
        </w:rPr>
        <w:t>“</w:t>
      </w:r>
      <w:r>
        <w:rPr>
          <w:lang w:eastAsia="zh-CN"/>
        </w:rPr>
        <w:t>壳股</w:t>
      </w:r>
      <w:r>
        <w:rPr>
          <w:lang w:eastAsia="zh-CN"/>
        </w:rPr>
        <w:t>”</w:t>
      </w:r>
      <w:r>
        <w:rPr>
          <w:lang w:eastAsia="zh-CN"/>
        </w:rPr>
        <w:t>，由第三方收购，并注入其本身的业务，以规避新上市规定，包括资格、保荐人尽职审查及披露的规定。这种借壳上市过程通常分为多个步骤完成，以避免在反收购规则下被视为新上市。例如，向空壳公司注入资产这步骤可能会延至较后日期，而期间空壳公司为求维持其上市地位，可能会投资金融资产，包括其</w:t>
      </w:r>
      <w:r>
        <w:rPr>
          <w:lang w:eastAsia="zh-CN"/>
        </w:rPr>
        <w:t>他壳股。</w:t>
      </w:r>
    </w:p>
    <w:p w:rsidR="002F3021" w:rsidRDefault="00E67BC9">
      <w:pPr>
        <w:pStyle w:val="BodyText"/>
        <w:rPr>
          <w:lang w:eastAsia="zh-CN"/>
        </w:rPr>
      </w:pPr>
      <w:r>
        <w:rPr>
          <w:lang w:eastAsia="zh-CN"/>
        </w:rPr>
        <w:lastRenderedPageBreak/>
        <w:t>正如梁女士所指出的，一些市场参与者从事</w:t>
      </w:r>
      <w:r>
        <w:rPr>
          <w:lang w:eastAsia="zh-CN"/>
        </w:rPr>
        <w:t>“</w:t>
      </w:r>
      <w:r>
        <w:rPr>
          <w:lang w:eastAsia="zh-CN"/>
        </w:rPr>
        <w:t>造壳</w:t>
      </w:r>
      <w:r>
        <w:rPr>
          <w:lang w:eastAsia="zh-CN"/>
        </w:rPr>
        <w:t>”</w:t>
      </w:r>
      <w:r>
        <w:rPr>
          <w:lang w:eastAsia="zh-CN"/>
        </w:rPr>
        <w:t>的动机是当时上市壳的高交易价值。据报道，壳公司的最高成交价超过</w:t>
      </w:r>
      <w:r>
        <w:rPr>
          <w:lang w:eastAsia="zh-CN"/>
        </w:rPr>
        <w:t>5</w:t>
      </w:r>
      <w:r>
        <w:rPr>
          <w:lang w:eastAsia="zh-CN"/>
        </w:rPr>
        <w:t>亿港元，这个数字往往超过了实际业务的价值。考虑到较低的上市门槛，在</w:t>
      </w:r>
      <w:r>
        <w:rPr>
          <w:lang w:eastAsia="zh-CN"/>
        </w:rPr>
        <w:t>GEM</w:t>
      </w:r>
      <w:r>
        <w:rPr>
          <w:lang w:eastAsia="zh-CN"/>
        </w:rPr>
        <w:t>上</w:t>
      </w:r>
      <w:r>
        <w:rPr>
          <w:lang w:eastAsia="zh-CN"/>
        </w:rPr>
        <w:t>“</w:t>
      </w:r>
      <w:r>
        <w:rPr>
          <w:lang w:eastAsia="zh-CN"/>
        </w:rPr>
        <w:t>制造</w:t>
      </w:r>
      <w:r>
        <w:rPr>
          <w:lang w:eastAsia="zh-CN"/>
        </w:rPr>
        <w:t>”</w:t>
      </w:r>
      <w:r>
        <w:rPr>
          <w:lang w:eastAsia="zh-CN"/>
        </w:rPr>
        <w:t>一个壳更容易，壳活动的影响特别明显。梁女士在演辞中并没有指出，香港交易所在</w:t>
      </w:r>
      <w:r>
        <w:rPr>
          <w:lang w:eastAsia="zh-CN"/>
        </w:rPr>
        <w:t>2008</w:t>
      </w:r>
      <w:r>
        <w:rPr>
          <w:lang w:eastAsia="zh-CN"/>
        </w:rPr>
        <w:t>年将</w:t>
      </w:r>
      <w:r>
        <w:rPr>
          <w:lang w:eastAsia="zh-CN"/>
        </w:rPr>
        <w:t>GEM</w:t>
      </w:r>
      <w:r>
        <w:rPr>
          <w:lang w:eastAsia="zh-CN"/>
        </w:rPr>
        <w:t>的定位由</w:t>
      </w:r>
      <w:r>
        <w:rPr>
          <w:lang w:eastAsia="zh-CN"/>
        </w:rPr>
        <w:t>“</w:t>
      </w:r>
      <w:r>
        <w:rPr>
          <w:lang w:eastAsia="zh-CN"/>
        </w:rPr>
        <w:t>新兴及成长型公司的替代板</w:t>
      </w:r>
      <w:r>
        <w:rPr>
          <w:lang w:eastAsia="zh-CN"/>
        </w:rPr>
        <w:t>”</w:t>
      </w:r>
      <w:r>
        <w:rPr>
          <w:lang w:eastAsia="zh-CN"/>
        </w:rPr>
        <w:t>重新定位为</w:t>
      </w:r>
      <w:r>
        <w:rPr>
          <w:lang w:eastAsia="zh-CN"/>
        </w:rPr>
        <w:t>“</w:t>
      </w:r>
      <w:r>
        <w:rPr>
          <w:lang w:eastAsia="zh-CN"/>
        </w:rPr>
        <w:t>进入主板的跳板</w:t>
      </w:r>
      <w:r>
        <w:rPr>
          <w:lang w:eastAsia="zh-CN"/>
        </w:rPr>
        <w:t>”</w:t>
      </w:r>
      <w:r>
        <w:rPr>
          <w:lang w:eastAsia="zh-CN"/>
        </w:rPr>
        <w:t>，并引入新的</w:t>
      </w:r>
      <w:r>
        <w:rPr>
          <w:lang w:eastAsia="zh-CN"/>
        </w:rPr>
        <w:t>GEM</w:t>
      </w:r>
      <w:r>
        <w:rPr>
          <w:lang w:eastAsia="zh-CN"/>
        </w:rPr>
        <w:t>数量准入准则，以及简化符合主板上市要求的转板程序。这使得每年的</w:t>
      </w:r>
      <w:r>
        <w:rPr>
          <w:lang w:eastAsia="zh-CN"/>
        </w:rPr>
        <w:t>GEM</w:t>
      </w:r>
      <w:r>
        <w:rPr>
          <w:lang w:eastAsia="zh-CN"/>
        </w:rPr>
        <w:t>上市数量从</w:t>
      </w:r>
      <w:r>
        <w:rPr>
          <w:lang w:eastAsia="zh-CN"/>
        </w:rPr>
        <w:t>2008</w:t>
      </w:r>
      <w:r>
        <w:rPr>
          <w:lang w:eastAsia="zh-CN"/>
        </w:rPr>
        <w:t>年下半年的零增加到</w:t>
      </w:r>
      <w:r>
        <w:rPr>
          <w:lang w:eastAsia="zh-CN"/>
        </w:rPr>
        <w:t>2016</w:t>
      </w:r>
      <w:r>
        <w:rPr>
          <w:lang w:eastAsia="zh-CN"/>
        </w:rPr>
        <w:t>年的</w:t>
      </w:r>
      <w:r>
        <w:rPr>
          <w:lang w:eastAsia="zh-CN"/>
        </w:rPr>
        <w:t>45</w:t>
      </w:r>
      <w:r>
        <w:rPr>
          <w:lang w:eastAsia="zh-CN"/>
        </w:rPr>
        <w:t>次</w:t>
      </w:r>
      <w:r>
        <w:rPr>
          <w:lang w:eastAsia="zh-CN"/>
        </w:rPr>
        <w:t>ipo</w:t>
      </w:r>
      <w:r>
        <w:rPr>
          <w:lang w:eastAsia="zh-CN"/>
        </w:rPr>
        <w:t>，筹集资</w:t>
      </w:r>
      <w:r>
        <w:rPr>
          <w:lang w:eastAsia="zh-CN"/>
        </w:rPr>
        <w:t>金</w:t>
      </w:r>
      <w:r>
        <w:rPr>
          <w:lang w:eastAsia="zh-CN"/>
        </w:rPr>
        <w:t>46</w:t>
      </w:r>
      <w:r>
        <w:rPr>
          <w:lang w:eastAsia="zh-CN"/>
        </w:rPr>
        <w:t>亿港元。</w:t>
      </w:r>
      <w:hyperlink w:anchor="footnote-598-9">
        <w:r>
          <w:rPr>
            <w:vertAlign w:val="superscript"/>
            <w:lang w:eastAsia="zh-CN"/>
          </w:rPr>
          <w:t>9</w:t>
        </w:r>
      </w:hyperlink>
    </w:p>
    <w:p w:rsidR="002F3021" w:rsidRDefault="00E67BC9">
      <w:pPr>
        <w:pStyle w:val="BodyText"/>
        <w:rPr>
          <w:lang w:eastAsia="zh-CN"/>
        </w:rPr>
      </w:pPr>
      <w:r>
        <w:rPr>
          <w:lang w:eastAsia="zh-CN"/>
        </w:rPr>
        <w:t>香港</w:t>
      </w:r>
      <w:r>
        <w:rPr>
          <w:lang w:eastAsia="zh-CN"/>
        </w:rPr>
        <w:t>GEM</w:t>
      </w:r>
      <w:r>
        <w:rPr>
          <w:lang w:eastAsia="zh-CN"/>
        </w:rPr>
        <w:t>的市场失当行为</w:t>
      </w:r>
    </w:p>
    <w:p w:rsidR="002F3021" w:rsidRDefault="00E67BC9">
      <w:pPr>
        <w:pStyle w:val="BodyText"/>
        <w:rPr>
          <w:lang w:eastAsia="zh-CN"/>
        </w:rPr>
      </w:pPr>
      <w:r>
        <w:rPr>
          <w:lang w:eastAsia="zh-CN"/>
        </w:rPr>
        <w:t>梁女士指出，制造壳通常与各种形式的市场失当行为有关。由于空壳公司往往对投资者的吸引力不大，故一些不良分子会安排代理承配人认购首次公开招股的股份，人为地营造公司的估值及股东分布，从而符合上市时的最低市值及股东人数规定。</w:t>
      </w:r>
    </w:p>
    <w:p w:rsidR="002F3021" w:rsidRDefault="00E67BC9">
      <w:pPr>
        <w:pStyle w:val="BodyText"/>
        <w:rPr>
          <w:lang w:eastAsia="zh-CN"/>
        </w:rPr>
      </w:pPr>
      <w:r>
        <w:rPr>
          <w:lang w:eastAsia="zh-CN"/>
        </w:rPr>
        <w:t>过去，</w:t>
      </w:r>
      <w:r>
        <w:rPr>
          <w:lang w:eastAsia="zh-CN"/>
        </w:rPr>
        <w:t>GEM</w:t>
      </w:r>
      <w:r>
        <w:rPr>
          <w:lang w:eastAsia="zh-CN"/>
        </w:rPr>
        <w:t>首次公开招股无须设有公开认购部分，因此股权往往高度集中于少数的股东手中，在某些个案包括有嫌疑的代理承配人。这使得这些公司的股价可能会大幅波动，且容易发生市场舞弊。在</w:t>
      </w:r>
      <w:r>
        <w:rPr>
          <w:lang w:eastAsia="zh-CN"/>
        </w:rPr>
        <w:t>2015</w:t>
      </w:r>
      <w:r>
        <w:rPr>
          <w:lang w:eastAsia="zh-CN"/>
        </w:rPr>
        <w:t>年及</w:t>
      </w:r>
      <w:r>
        <w:rPr>
          <w:lang w:eastAsia="zh-CN"/>
        </w:rPr>
        <w:t>2016</w:t>
      </w:r>
      <w:r>
        <w:rPr>
          <w:lang w:eastAsia="zh-CN"/>
        </w:rPr>
        <w:t>年，新上市的</w:t>
      </w:r>
      <w:r>
        <w:rPr>
          <w:lang w:eastAsia="zh-CN"/>
        </w:rPr>
        <w:t>GEM</w:t>
      </w:r>
      <w:r>
        <w:rPr>
          <w:lang w:eastAsia="zh-CN"/>
        </w:rPr>
        <w:t>公司的股价于首个交易日较其首次公开招股价</w:t>
      </w:r>
      <w:r>
        <w:rPr>
          <w:lang w:eastAsia="zh-CN"/>
        </w:rPr>
        <w:t xml:space="preserve"> </w:t>
      </w:r>
      <w:r>
        <w:rPr>
          <w:lang w:eastAsia="zh-CN"/>
        </w:rPr>
        <w:t>平均飙升约六倍。然而，这些股票的股价大多数随后跌穿首次公开招股价，令投资者蒙受巨额</w:t>
      </w:r>
      <w:r>
        <w:rPr>
          <w:lang w:eastAsia="zh-CN"/>
        </w:rPr>
        <w:t xml:space="preserve"> </w:t>
      </w:r>
      <w:r>
        <w:rPr>
          <w:lang w:eastAsia="zh-CN"/>
        </w:rPr>
        <w:t>损失，其中在二级市场高价买入股票的投资者尤甚。</w:t>
      </w:r>
    </w:p>
    <w:p w:rsidR="002F3021" w:rsidRDefault="00E67BC9">
      <w:pPr>
        <w:pStyle w:val="BodyText"/>
        <w:rPr>
          <w:lang w:eastAsia="zh-CN"/>
        </w:rPr>
      </w:pPr>
      <w:r>
        <w:rPr>
          <w:lang w:eastAsia="zh-CN"/>
        </w:rPr>
        <w:t>证监会打击香港市场失当行为所作的努力</w:t>
      </w:r>
    </w:p>
    <w:p w:rsidR="002F3021" w:rsidRDefault="00E67BC9">
      <w:pPr>
        <w:pStyle w:val="BodyText"/>
        <w:rPr>
          <w:lang w:eastAsia="zh-CN"/>
        </w:rPr>
      </w:pPr>
      <w:r>
        <w:rPr>
          <w:lang w:eastAsia="zh-CN"/>
        </w:rPr>
        <w:t>为了打击市场失当行为，</w:t>
      </w:r>
      <w:r>
        <w:rPr>
          <w:lang w:eastAsia="zh-CN"/>
        </w:rPr>
        <w:t>2016</w:t>
      </w:r>
      <w:r>
        <w:rPr>
          <w:lang w:eastAsia="zh-CN"/>
        </w:rPr>
        <w:t>年，证监会成立了一个名为</w:t>
      </w:r>
      <w:r>
        <w:rPr>
          <w:lang w:eastAsia="zh-CN"/>
        </w:rPr>
        <w:t>“ICE”</w:t>
      </w:r>
      <w:r>
        <w:rPr>
          <w:lang w:eastAsia="zh-CN"/>
        </w:rPr>
        <w:t>（中介机构部、企业融资部和法规执行部）的跨部门工作组，汇集了专家，来制订和实施整个机构的策略，以全面的方式应对企业失当行为。</w:t>
      </w:r>
    </w:p>
    <w:p w:rsidR="002F3021" w:rsidRDefault="00E67BC9">
      <w:pPr>
        <w:pStyle w:val="BodyText"/>
        <w:rPr>
          <w:lang w:eastAsia="zh-CN"/>
        </w:rPr>
      </w:pPr>
      <w:r>
        <w:rPr>
          <w:lang w:eastAsia="zh-CN"/>
        </w:rPr>
        <w:t>为解决市场质素问题及降低企业失当行为及市场舞弊的风险，香港交易所实施了多</w:t>
      </w:r>
      <w:r>
        <w:rPr>
          <w:lang w:eastAsia="zh-CN"/>
        </w:rPr>
        <w:t>项政策措施，包括修订《上市规则》，包括：</w:t>
      </w:r>
    </w:p>
    <w:p w:rsidR="002F3021" w:rsidRDefault="00E67BC9">
      <w:pPr>
        <w:pStyle w:val="Compact"/>
        <w:numPr>
          <w:ilvl w:val="0"/>
          <w:numId w:val="3"/>
        </w:numPr>
        <w:rPr>
          <w:lang w:eastAsia="zh-CN"/>
        </w:rPr>
      </w:pPr>
      <w:r>
        <w:rPr>
          <w:lang w:eastAsia="zh-CN"/>
        </w:rPr>
        <w:t>GEM</w:t>
      </w:r>
      <w:bookmarkStart w:id="0" w:name="_GoBack"/>
      <w:bookmarkEnd w:id="0"/>
      <w:r>
        <w:rPr>
          <w:lang w:eastAsia="zh-CN"/>
        </w:rPr>
        <w:t>首次公开招股现时须纳入公开认购部分，以减少在首次公开招股中利用代理承配人来取得高度集中的股权的风险；</w:t>
      </w:r>
    </w:p>
    <w:p w:rsidR="002F3021" w:rsidRDefault="00E67BC9">
      <w:pPr>
        <w:pStyle w:val="Compact"/>
        <w:numPr>
          <w:ilvl w:val="0"/>
          <w:numId w:val="3"/>
        </w:numPr>
        <w:rPr>
          <w:lang w:eastAsia="zh-CN"/>
        </w:rPr>
      </w:pPr>
      <w:r>
        <w:rPr>
          <w:lang w:eastAsia="zh-CN"/>
        </w:rPr>
        <w:t>反收购规定已经收紧，以遏止借壳上市的难度及成本。具高度摊薄效应的集资活动亦变得更加困难；及</w:t>
      </w:r>
    </w:p>
    <w:p w:rsidR="002F3021" w:rsidRDefault="00E67BC9">
      <w:pPr>
        <w:pStyle w:val="Compact"/>
        <w:numPr>
          <w:ilvl w:val="0"/>
          <w:numId w:val="3"/>
        </w:numPr>
        <w:rPr>
          <w:lang w:eastAsia="zh-CN"/>
        </w:rPr>
      </w:pPr>
      <w:r>
        <w:rPr>
          <w:lang w:eastAsia="zh-CN"/>
        </w:rPr>
        <w:t>在</w:t>
      </w:r>
      <w:r>
        <w:rPr>
          <w:lang w:eastAsia="zh-CN"/>
        </w:rPr>
        <w:t>2018</w:t>
      </w:r>
      <w:r>
        <w:rPr>
          <w:lang w:eastAsia="zh-CN"/>
        </w:rPr>
        <w:t>年及</w:t>
      </w:r>
      <w:r>
        <w:rPr>
          <w:lang w:eastAsia="zh-CN"/>
        </w:rPr>
        <w:t>2022</w:t>
      </w:r>
      <w:r>
        <w:rPr>
          <w:lang w:eastAsia="zh-CN"/>
        </w:rPr>
        <w:t>年先后提高了主板及</w:t>
      </w:r>
      <w:r>
        <w:rPr>
          <w:lang w:eastAsia="zh-CN"/>
        </w:rPr>
        <w:t>GEM</w:t>
      </w:r>
      <w:r>
        <w:rPr>
          <w:lang w:eastAsia="zh-CN"/>
        </w:rPr>
        <w:t>的首次上市准则，包括将主板的最低市值由二亿港元调高至五亿港元。</w:t>
      </w:r>
    </w:p>
    <w:p w:rsidR="002F3021" w:rsidRDefault="00E67BC9">
      <w:pPr>
        <w:pStyle w:val="FirstParagraph"/>
        <w:rPr>
          <w:lang w:eastAsia="zh-CN"/>
        </w:rPr>
      </w:pPr>
      <w:r>
        <w:rPr>
          <w:lang w:eastAsia="zh-CN"/>
        </w:rPr>
        <w:t>香港证监会还加强了对</w:t>
      </w:r>
      <w:r>
        <w:rPr>
          <w:lang w:eastAsia="zh-CN"/>
        </w:rPr>
        <w:t>“</w:t>
      </w:r>
      <w:r>
        <w:rPr>
          <w:lang w:eastAsia="zh-CN"/>
        </w:rPr>
        <w:t>唱高散货</w:t>
      </w:r>
      <w:r>
        <w:rPr>
          <w:lang w:eastAsia="zh-CN"/>
        </w:rPr>
        <w:t>”</w:t>
      </w:r>
      <w:r>
        <w:rPr>
          <w:lang w:eastAsia="zh-CN"/>
        </w:rPr>
        <w:t>骗局的市场监察督，并采取了更多的执法行动。此外，海关亦扩阔调查范围，力求捣破幕后的主脑集团，并加强与廉政公署、警务处商业罪案调查科及海外监管机构更紧密地合作，绝不容许不良分子逍遥法外。</w:t>
      </w:r>
    </w:p>
    <w:p w:rsidR="002F3021" w:rsidRDefault="00E67BC9">
      <w:pPr>
        <w:pStyle w:val="BodyText"/>
        <w:rPr>
          <w:lang w:eastAsia="zh-CN"/>
        </w:rPr>
      </w:pPr>
      <w:r>
        <w:rPr>
          <w:lang w:eastAsia="zh-CN"/>
        </w:rPr>
        <w:t>为香港建立充满活力的小型股生态系统的愿景</w:t>
      </w:r>
    </w:p>
    <w:p w:rsidR="002F3021" w:rsidRDefault="00E67BC9">
      <w:pPr>
        <w:pStyle w:val="BodyText"/>
        <w:rPr>
          <w:lang w:eastAsia="zh-CN"/>
        </w:rPr>
      </w:pPr>
      <w:r>
        <w:rPr>
          <w:lang w:eastAsia="zh-CN"/>
        </w:rPr>
        <w:t>在解决了影响</w:t>
      </w:r>
      <w:r>
        <w:rPr>
          <w:lang w:eastAsia="zh-CN"/>
        </w:rPr>
        <w:t>GEM</w:t>
      </w:r>
      <w:r>
        <w:rPr>
          <w:lang w:eastAsia="zh-CN"/>
        </w:rPr>
        <w:t>的各种问题后，香港证监会现在希望重新聚焦于吸引优质小型股公司，并促进该行业的可持续增长。由于市场力量在过去十年推动了变化，例如针对具有不同投票权架构的创新公司、生物科技公司和特专科技公司的上市改革，香港股市现在充斥着更多具有高增长潜力</w:t>
      </w:r>
      <w:r>
        <w:rPr>
          <w:lang w:eastAsia="zh-CN"/>
        </w:rPr>
        <w:t>的新经济股。</w:t>
      </w:r>
      <w:r>
        <w:rPr>
          <w:lang w:eastAsia="zh-CN"/>
        </w:rPr>
        <w:t>2022</w:t>
      </w:r>
      <w:r>
        <w:rPr>
          <w:lang w:eastAsia="zh-CN"/>
        </w:rPr>
        <w:t>年，</w:t>
      </w:r>
      <w:r>
        <w:rPr>
          <w:lang w:eastAsia="zh-CN"/>
        </w:rPr>
        <w:t>62</w:t>
      </w:r>
      <w:r>
        <w:rPr>
          <w:lang w:eastAsia="zh-CN"/>
        </w:rPr>
        <w:t>家</w:t>
      </w:r>
      <w:r>
        <w:rPr>
          <w:lang w:eastAsia="zh-CN"/>
        </w:rPr>
        <w:t>IPO</w:t>
      </w:r>
      <w:r>
        <w:rPr>
          <w:lang w:eastAsia="zh-CN"/>
        </w:rPr>
        <w:t>是新经济公司，占当年融资额的</w:t>
      </w:r>
      <w:r>
        <w:rPr>
          <w:lang w:eastAsia="zh-CN"/>
        </w:rPr>
        <w:t>65%</w:t>
      </w:r>
      <w:r>
        <w:rPr>
          <w:lang w:eastAsia="zh-CN"/>
        </w:rPr>
        <w:t>。</w:t>
      </w:r>
      <w:hyperlink w:anchor="footnote-598-10">
        <w:r>
          <w:rPr>
            <w:vertAlign w:val="superscript"/>
            <w:lang w:eastAsia="zh-CN"/>
          </w:rPr>
          <w:t>10</w:t>
        </w:r>
      </w:hyperlink>
      <w:r>
        <w:rPr>
          <w:lang w:eastAsia="zh-CN"/>
        </w:rPr>
        <w:t xml:space="preserve"> </w:t>
      </w:r>
      <w:r>
        <w:rPr>
          <w:lang w:eastAsia="zh-CN"/>
        </w:rPr>
        <w:t>自</w:t>
      </w:r>
      <w:r>
        <w:rPr>
          <w:lang w:eastAsia="zh-CN"/>
        </w:rPr>
        <w:t>2018</w:t>
      </w:r>
      <w:r>
        <w:rPr>
          <w:lang w:eastAsia="zh-CN"/>
        </w:rPr>
        <w:t>年首次允许营收前生物技术公司上市以来，香港也成为亚洲最大的生物技术融资场所。</w:t>
      </w:r>
      <w:hyperlink w:anchor="footnote-598-11">
        <w:r>
          <w:rPr>
            <w:vertAlign w:val="superscript"/>
            <w:lang w:eastAsia="zh-CN"/>
          </w:rPr>
          <w:t>11</w:t>
        </w:r>
      </w:hyperlink>
    </w:p>
    <w:p w:rsidR="002F3021" w:rsidRDefault="00E67BC9">
      <w:pPr>
        <w:pStyle w:val="BodyText"/>
        <w:rPr>
          <w:lang w:eastAsia="zh-CN"/>
        </w:rPr>
      </w:pPr>
      <w:r>
        <w:rPr>
          <w:lang w:eastAsia="zh-CN"/>
        </w:rPr>
        <w:t>为重获机构及散户投资者的兴趣，梁凤仪强调有必要重振中小企业在香港市场的融资功能，以提高在港上市小型股的质素。香港证监会的目标是恢复投资者信心，重新确立</w:t>
      </w:r>
      <w:r>
        <w:rPr>
          <w:lang w:eastAsia="zh-CN"/>
        </w:rPr>
        <w:t>GEM</w:t>
      </w:r>
      <w:r>
        <w:rPr>
          <w:lang w:eastAsia="zh-CN"/>
        </w:rPr>
        <w:t>作为优质成长型企业融资场所的初衷，</w:t>
      </w:r>
      <w:r>
        <w:rPr>
          <w:lang w:eastAsia="zh-CN"/>
        </w:rPr>
        <w:t>从而实现这一目标。在振兴</w:t>
      </w:r>
      <w:r>
        <w:rPr>
          <w:lang w:eastAsia="zh-CN"/>
        </w:rPr>
        <w:t>GEM</w:t>
      </w:r>
      <w:r>
        <w:rPr>
          <w:lang w:eastAsia="zh-CN"/>
        </w:rPr>
        <w:t>方面，梁女士强调有必要制定明确的路线图，发展一个充满活力的小型股生态系统，以支持在香港主板上市的小型股的流动性。她指出，买卖双方都需要参与进来。机构投资者参与小型股市场可以提高流动性和估值，从而吸引更多优</w:t>
      </w:r>
      <w:r>
        <w:rPr>
          <w:lang w:eastAsia="zh-CN"/>
        </w:rPr>
        <w:lastRenderedPageBreak/>
        <w:t>质发行人在市场上市。投资者也可以提供资金支持中小企业上市前后的成长。中介机构，特别是保荐人和承销商，可以通过在尽职调查过程中筛选出有问题的公司，从而帮助保持质量。</w:t>
      </w:r>
    </w:p>
    <w:p w:rsidR="002F3021" w:rsidRDefault="00E67BC9">
      <w:pPr>
        <w:pStyle w:val="BodyText"/>
        <w:rPr>
          <w:lang w:eastAsia="zh-CN"/>
        </w:rPr>
      </w:pPr>
      <w:r>
        <w:rPr>
          <w:lang w:eastAsia="zh-CN"/>
        </w:rPr>
        <w:t>最后，梁女士强调教育对改善投资者文化的重要性。随着科技的日益普及，许多缺乏防范意识的投资者落入了</w:t>
      </w:r>
      <w:r>
        <w:rPr>
          <w:lang w:eastAsia="zh-CN"/>
        </w:rPr>
        <w:t>“</w:t>
      </w:r>
      <w:r>
        <w:rPr>
          <w:lang w:eastAsia="zh-CN"/>
        </w:rPr>
        <w:t>骗局</w:t>
      </w:r>
      <w:r>
        <w:rPr>
          <w:lang w:eastAsia="zh-CN"/>
        </w:rPr>
        <w:t>”</w:t>
      </w:r>
      <w:r>
        <w:rPr>
          <w:lang w:eastAsia="zh-CN"/>
        </w:rPr>
        <w:t>阶段，他们误信冒充知名股评人的网络红人或声称认识知情人士的社交媒体所提供的投资情报。有见及此，联交所一直与辖下附属机构</w:t>
      </w:r>
      <w:r>
        <w:rPr>
          <w:lang w:eastAsia="zh-CN"/>
        </w:rPr>
        <w:t>-</w:t>
      </w:r>
      <w:r>
        <w:rPr>
          <w:lang w:eastAsia="zh-CN"/>
        </w:rPr>
        <w:t>投资者及理财教育委员会（投委会）紧密合作，教育散户投资者不应盲从网络红人或道听途说的贴士作出投资决定，并透过社交媒体渠道分享防骗资讯，以提高投资者对已上市或拟上市小型股的认识，打击诈骗。</w:t>
      </w:r>
    </w:p>
    <w:p w:rsidR="002F3021" w:rsidRDefault="00E67BC9">
      <w:pPr>
        <w:pStyle w:val="BodyText"/>
      </w:pPr>
      <w:hyperlink w:anchor="footnote-598-1-backlink">
        <w:r>
          <w:t>1</w:t>
        </w:r>
      </w:hyperlink>
      <w:r>
        <w:t>可访</w:t>
      </w:r>
      <w:r>
        <w:t>问：</w:t>
      </w:r>
      <w:hyperlink r:id="rId10">
        <w:r>
          <w:t>https://www.sfc.hk/-/media/EN/files/COM/Speech/HKSI-Luncheon_English.pdf?rev=bdc98a7ef6</w:t>
        </w:r>
        <w:r>
          <w:t>d748b8a18d09b14355df82&amp;hash=84C7508CE1357E09877CA268FCE8F603</w:t>
        </w:r>
      </w:hyperlink>
    </w:p>
    <w:p w:rsidR="002F3021" w:rsidRDefault="00E67BC9">
      <w:pPr>
        <w:pStyle w:val="BodyText"/>
        <w:rPr>
          <w:lang w:eastAsia="zh-CN"/>
        </w:rPr>
      </w:pPr>
      <w:hyperlink w:anchor="footnote-598-2-backlink">
        <w:r>
          <w:rPr>
            <w:lang w:eastAsia="zh-CN"/>
          </w:rPr>
          <w:t>2</w:t>
        </w:r>
      </w:hyperlink>
      <w:r>
        <w:rPr>
          <w:lang w:eastAsia="zh-CN"/>
        </w:rPr>
        <w:t xml:space="preserve"> 2023-2024</w:t>
      </w:r>
      <w:r>
        <w:rPr>
          <w:lang w:eastAsia="zh-CN"/>
        </w:rPr>
        <w:t>财政预算演辞第</w:t>
      </w:r>
      <w:r>
        <w:rPr>
          <w:lang w:eastAsia="zh-CN"/>
        </w:rPr>
        <w:t>89</w:t>
      </w:r>
      <w:r>
        <w:rPr>
          <w:lang w:eastAsia="zh-CN"/>
        </w:rPr>
        <w:t>段</w:t>
      </w:r>
    </w:p>
    <w:p w:rsidR="002F3021" w:rsidRDefault="00E67BC9">
      <w:pPr>
        <w:pStyle w:val="BodyText"/>
        <w:rPr>
          <w:lang w:eastAsia="zh-CN"/>
        </w:rPr>
      </w:pPr>
      <w:hyperlink w:anchor="footnote-598-3-backlink">
        <w:r>
          <w:rPr>
            <w:lang w:eastAsia="zh-CN"/>
          </w:rPr>
          <w:t>3</w:t>
        </w:r>
      </w:hyperlink>
      <w:r>
        <w:rPr>
          <w:lang w:eastAsia="zh-CN"/>
        </w:rPr>
        <w:t xml:space="preserve"> </w:t>
      </w:r>
      <w:r>
        <w:rPr>
          <w:lang w:eastAsia="zh-CN"/>
        </w:rPr>
        <w:t>数据可访问：</w:t>
      </w:r>
      <w:r>
        <w:rPr>
          <w:lang w:eastAsia="zh-CN"/>
        </w:rPr>
        <w:t xml:space="preserve"> </w:t>
      </w:r>
      <w:hyperlink r:id="rId11">
        <w:r>
          <w:rPr>
            <w:lang w:eastAsia="zh-CN"/>
          </w:rPr>
          <w:t>证监会年报</w:t>
        </w:r>
        <w:r>
          <w:rPr>
            <w:lang w:eastAsia="zh-CN"/>
          </w:rPr>
          <w:t>2020-21 (sfc.hk)</w:t>
        </w:r>
      </w:hyperlink>
    </w:p>
    <w:p w:rsidR="002F3021" w:rsidRDefault="00E67BC9">
      <w:pPr>
        <w:pStyle w:val="BodyText"/>
        <w:rPr>
          <w:lang w:eastAsia="zh-CN"/>
        </w:rPr>
      </w:pPr>
      <w:hyperlink w:anchor="footnote-598-4-backlink">
        <w:r>
          <w:rPr>
            <w:lang w:eastAsia="zh-CN"/>
          </w:rPr>
          <w:t>4</w:t>
        </w:r>
      </w:hyperlink>
      <w:r>
        <w:rPr>
          <w:lang w:eastAsia="zh-CN"/>
        </w:rPr>
        <w:t xml:space="preserve"> </w:t>
      </w:r>
      <w:r>
        <w:rPr>
          <w:lang w:eastAsia="zh-CN"/>
        </w:rPr>
        <w:t>数据可访问：</w:t>
      </w:r>
      <w:hyperlink r:id="rId12">
        <w:r>
          <w:rPr>
            <w:lang w:eastAsia="zh-CN"/>
          </w:rPr>
          <w:t>年度市场统计</w:t>
        </w:r>
        <w:r>
          <w:rPr>
            <w:lang w:eastAsia="zh-CN"/>
          </w:rPr>
          <w:t>(hkex.com.hk)</w:t>
        </w:r>
      </w:hyperlink>
    </w:p>
    <w:p w:rsidR="002F3021" w:rsidRDefault="00E67BC9">
      <w:pPr>
        <w:pStyle w:val="BodyText"/>
        <w:rPr>
          <w:lang w:eastAsia="zh-CN"/>
        </w:rPr>
      </w:pPr>
      <w:hyperlink w:anchor="footnote-598-5-backlink">
        <w:r>
          <w:rPr>
            <w:lang w:eastAsia="zh-CN"/>
          </w:rPr>
          <w:t>5</w:t>
        </w:r>
      </w:hyperlink>
      <w:r>
        <w:rPr>
          <w:lang w:eastAsia="zh-CN"/>
        </w:rPr>
        <w:t xml:space="preserve"> </w:t>
      </w:r>
      <w:r>
        <w:rPr>
          <w:lang w:eastAsia="zh-CN"/>
        </w:rPr>
        <w:t>截至</w:t>
      </w:r>
      <w:r>
        <w:rPr>
          <w:lang w:eastAsia="zh-CN"/>
        </w:rPr>
        <w:t>2023</w:t>
      </w:r>
      <w:r>
        <w:rPr>
          <w:lang w:eastAsia="zh-CN"/>
        </w:rPr>
        <w:t>年</w:t>
      </w:r>
      <w:r>
        <w:rPr>
          <w:lang w:eastAsia="zh-CN"/>
        </w:rPr>
        <w:t>6</w:t>
      </w:r>
      <w:r>
        <w:rPr>
          <w:lang w:eastAsia="zh-CN"/>
        </w:rPr>
        <w:t>月</w:t>
      </w:r>
      <w:r>
        <w:rPr>
          <w:lang w:eastAsia="zh-CN"/>
        </w:rPr>
        <w:t xml:space="preserve">, </w:t>
      </w:r>
      <w:hyperlink r:id="rId13">
        <w:r>
          <w:rPr>
            <w:lang w:eastAsia="zh-CN"/>
          </w:rPr>
          <w:t>联交所月度市场要闻</w:t>
        </w:r>
      </w:hyperlink>
    </w:p>
    <w:p w:rsidR="002F3021" w:rsidRDefault="00E67BC9">
      <w:pPr>
        <w:pStyle w:val="BodyText"/>
        <w:rPr>
          <w:lang w:eastAsia="zh-CN"/>
        </w:rPr>
      </w:pPr>
      <w:hyperlink w:anchor="footnote-598-6-backlink">
        <w:r>
          <w:rPr>
            <w:lang w:eastAsia="zh-CN"/>
          </w:rPr>
          <w:t>6</w:t>
        </w:r>
      </w:hyperlink>
      <w:r>
        <w:rPr>
          <w:lang w:eastAsia="zh-CN"/>
        </w:rPr>
        <w:t xml:space="preserve"> </w:t>
      </w:r>
      <w:r>
        <w:rPr>
          <w:lang w:eastAsia="zh-CN"/>
        </w:rPr>
        <w:t>基于</w:t>
      </w:r>
      <w:r>
        <w:rPr>
          <w:lang w:eastAsia="zh-CN"/>
        </w:rPr>
        <w:t>2022</w:t>
      </w:r>
      <w:r>
        <w:rPr>
          <w:lang w:eastAsia="zh-CN"/>
        </w:rPr>
        <w:t>年的日均营业额</w:t>
      </w:r>
    </w:p>
    <w:p w:rsidR="002F3021" w:rsidRDefault="00E67BC9">
      <w:pPr>
        <w:pStyle w:val="BodyText"/>
        <w:rPr>
          <w:lang w:eastAsia="zh-CN"/>
        </w:rPr>
      </w:pPr>
      <w:hyperlink w:anchor="footnote-598-7-backlink">
        <w:r>
          <w:rPr>
            <w:lang w:eastAsia="zh-CN"/>
          </w:rPr>
          <w:t>7</w:t>
        </w:r>
      </w:hyperlink>
      <w:r>
        <w:rPr>
          <w:lang w:eastAsia="zh-CN"/>
        </w:rPr>
        <w:t xml:space="preserve"> </w:t>
      </w:r>
      <w:r>
        <w:rPr>
          <w:lang w:eastAsia="zh-CN"/>
        </w:rPr>
        <w:t>数据可访问：</w:t>
      </w:r>
      <w:r>
        <w:rPr>
          <w:lang w:eastAsia="zh-CN"/>
        </w:rPr>
        <w:t xml:space="preserve"> </w:t>
      </w:r>
      <w:hyperlink r:id="rId14">
        <w:r>
          <w:rPr>
            <w:lang w:eastAsia="zh-CN"/>
          </w:rPr>
          <w:t>现金市场交易调查</w:t>
        </w:r>
        <w:r>
          <w:rPr>
            <w:lang w:eastAsia="zh-CN"/>
          </w:rPr>
          <w:t>2010</w:t>
        </w:r>
      </w:hyperlink>
    </w:p>
    <w:p w:rsidR="002F3021" w:rsidRDefault="00E67BC9">
      <w:pPr>
        <w:pStyle w:val="BodyText"/>
        <w:rPr>
          <w:lang w:eastAsia="zh-CN"/>
        </w:rPr>
      </w:pPr>
      <w:hyperlink w:anchor="footnote-598-8-backlink">
        <w:r>
          <w:rPr>
            <w:lang w:eastAsia="zh-CN"/>
          </w:rPr>
          <w:t>8</w:t>
        </w:r>
      </w:hyperlink>
      <w:r>
        <w:rPr>
          <w:lang w:eastAsia="zh-CN"/>
        </w:rPr>
        <w:t xml:space="preserve"> </w:t>
      </w:r>
      <w:r>
        <w:rPr>
          <w:lang w:eastAsia="zh-CN"/>
        </w:rPr>
        <w:t>数据可访问：</w:t>
      </w:r>
      <w:r>
        <w:rPr>
          <w:lang w:eastAsia="zh-CN"/>
        </w:rPr>
        <w:t xml:space="preserve"> </w:t>
      </w:r>
      <w:hyperlink r:id="rId15">
        <w:r>
          <w:rPr>
            <w:lang w:eastAsia="zh-CN"/>
          </w:rPr>
          <w:t>现金市场交易调查</w:t>
        </w:r>
        <w:r>
          <w:rPr>
            <w:lang w:eastAsia="zh-CN"/>
          </w:rPr>
          <w:t>2020</w:t>
        </w:r>
      </w:hyperlink>
    </w:p>
    <w:p w:rsidR="002F3021" w:rsidRDefault="00E67BC9">
      <w:pPr>
        <w:pStyle w:val="BodyText"/>
        <w:rPr>
          <w:lang w:eastAsia="zh-CN"/>
        </w:rPr>
      </w:pPr>
      <w:hyperlink w:anchor="footnote-598-9-backlink">
        <w:r>
          <w:rPr>
            <w:lang w:eastAsia="zh-CN"/>
          </w:rPr>
          <w:t>9</w:t>
        </w:r>
      </w:hyperlink>
      <w:r>
        <w:rPr>
          <w:lang w:eastAsia="zh-CN"/>
        </w:rPr>
        <w:t xml:space="preserve"> </w:t>
      </w:r>
      <w:r>
        <w:rPr>
          <w:lang w:eastAsia="zh-CN"/>
        </w:rPr>
        <w:t>联交所（</w:t>
      </w:r>
      <w:r>
        <w:rPr>
          <w:lang w:eastAsia="zh-CN"/>
        </w:rPr>
        <w:t>2017</w:t>
      </w:r>
      <w:r>
        <w:rPr>
          <w:lang w:eastAsia="zh-CN"/>
        </w:rPr>
        <w:t>年</w:t>
      </w:r>
      <w:r>
        <w:rPr>
          <w:lang w:eastAsia="zh-CN"/>
        </w:rPr>
        <w:t>6</w:t>
      </w:r>
      <w:r>
        <w:rPr>
          <w:lang w:eastAsia="zh-CN"/>
        </w:rPr>
        <w:t>月）</w:t>
      </w:r>
      <w:r>
        <w:rPr>
          <w:lang w:eastAsia="zh-CN"/>
        </w:rPr>
        <w:t>‘</w:t>
      </w:r>
      <w:hyperlink r:id="rId16">
        <w:r>
          <w:rPr>
            <w:lang w:eastAsia="zh-CN"/>
          </w:rPr>
          <w:t>有关检讨</w:t>
        </w:r>
        <w:r>
          <w:rPr>
            <w:lang w:eastAsia="zh-CN"/>
          </w:rPr>
          <w:t>GEM</w:t>
        </w:r>
        <w:r>
          <w:rPr>
            <w:lang w:eastAsia="zh-CN"/>
          </w:rPr>
          <w:t>及修订《</w:t>
        </w:r>
        <w:r>
          <w:rPr>
            <w:lang w:eastAsia="zh-CN"/>
          </w:rPr>
          <w:t>GEM</w:t>
        </w:r>
        <w:r>
          <w:rPr>
            <w:lang w:eastAsia="zh-CN"/>
          </w:rPr>
          <w:t>规则》及《主板规则》的谘询文件</w:t>
        </w:r>
      </w:hyperlink>
      <w:r>
        <w:rPr>
          <w:lang w:eastAsia="zh-CN"/>
        </w:rPr>
        <w:t>’.</w:t>
      </w:r>
    </w:p>
    <w:p w:rsidR="002F3021" w:rsidRDefault="00E67BC9">
      <w:pPr>
        <w:pStyle w:val="BodyText"/>
        <w:rPr>
          <w:lang w:eastAsia="zh-CN"/>
        </w:rPr>
      </w:pPr>
      <w:hyperlink w:anchor="footnote-598-10-backlink">
        <w:r>
          <w:rPr>
            <w:lang w:eastAsia="zh-CN"/>
          </w:rPr>
          <w:t>10</w:t>
        </w:r>
      </w:hyperlink>
      <w:r>
        <w:rPr>
          <w:lang w:eastAsia="zh-CN"/>
        </w:rPr>
        <w:t xml:space="preserve"> </w:t>
      </w:r>
      <w:r>
        <w:rPr>
          <w:lang w:eastAsia="zh-CN"/>
        </w:rPr>
        <w:t>数据可访问：</w:t>
      </w:r>
      <w:hyperlink r:id="rId17">
        <w:r>
          <w:rPr>
            <w:lang w:eastAsia="zh-CN"/>
          </w:rPr>
          <w:t xml:space="preserve">2022 </w:t>
        </w:r>
        <w:r>
          <w:rPr>
            <w:lang w:eastAsia="zh-CN"/>
          </w:rPr>
          <w:t>年报</w:t>
        </w:r>
        <w:r>
          <w:rPr>
            <w:lang w:eastAsia="zh-CN"/>
          </w:rPr>
          <w:t>(hkexnews.hk)</w:t>
        </w:r>
      </w:hyperlink>
    </w:p>
    <w:p w:rsidR="002F3021" w:rsidRDefault="00E67BC9">
      <w:pPr>
        <w:pStyle w:val="BodyText"/>
        <w:rPr>
          <w:lang w:eastAsia="zh-CN"/>
        </w:rPr>
      </w:pPr>
      <w:hyperlink w:anchor="footnote-598-11-backlink">
        <w:r>
          <w:rPr>
            <w:lang w:eastAsia="zh-CN"/>
          </w:rPr>
          <w:t>11</w:t>
        </w:r>
      </w:hyperlink>
      <w:r>
        <w:rPr>
          <w:lang w:eastAsia="zh-CN"/>
        </w:rPr>
        <w:t xml:space="preserve"> </w:t>
      </w:r>
      <w:r>
        <w:rPr>
          <w:lang w:eastAsia="zh-CN"/>
        </w:rPr>
        <w:t>截至</w:t>
      </w:r>
      <w:r>
        <w:rPr>
          <w:lang w:eastAsia="zh-CN"/>
        </w:rPr>
        <w:t>2020</w:t>
      </w:r>
      <w:r>
        <w:rPr>
          <w:lang w:eastAsia="zh-CN"/>
        </w:rPr>
        <w:t>年</w:t>
      </w:r>
      <w:r>
        <w:rPr>
          <w:lang w:eastAsia="zh-CN"/>
        </w:rPr>
        <w:t>10</w:t>
      </w:r>
      <w:r>
        <w:rPr>
          <w:lang w:eastAsia="zh-CN"/>
        </w:rPr>
        <w:t>月，</w:t>
      </w:r>
      <w:hyperlink r:id="rId18">
        <w:r>
          <w:rPr>
            <w:lang w:eastAsia="zh-CN"/>
          </w:rPr>
          <w:t>联交所生物科技</w:t>
        </w:r>
        <w:r>
          <w:rPr>
            <w:lang w:eastAsia="zh-CN"/>
          </w:rPr>
          <w:t>_</w:t>
        </w:r>
        <w:r>
          <w:rPr>
            <w:lang w:eastAsia="zh-CN"/>
          </w:rPr>
          <w:t>新闻</w:t>
        </w:r>
        <w:r>
          <w:rPr>
            <w:lang w:eastAsia="zh-CN"/>
          </w:rPr>
          <w:t>_</w:t>
        </w:r>
        <w:r>
          <w:rPr>
            <w:lang w:eastAsia="zh-CN"/>
          </w:rPr>
          <w:t>第四期</w:t>
        </w:r>
        <w:r>
          <w:rPr>
            <w:lang w:eastAsia="zh-CN"/>
          </w:rPr>
          <w:t>_</w:t>
        </w:r>
        <w:r>
          <w:rPr>
            <w:lang w:eastAsia="zh-CN"/>
          </w:rPr>
          <w:t>英文版</w:t>
        </w:r>
        <w:r>
          <w:rPr>
            <w:lang w:eastAsia="zh-CN"/>
          </w:rPr>
          <w:t>.pdf</w:t>
        </w:r>
      </w:hyperlink>
    </w:p>
    <w:p w:rsidR="002F3021" w:rsidRDefault="00E67BC9">
      <w:pPr>
        <w:pStyle w:val="DisclaimerBold"/>
        <w:rPr>
          <w:lang w:eastAsia="zh-CN"/>
        </w:rPr>
      </w:pPr>
      <w:r>
        <w:rPr>
          <w:lang w:eastAsia="zh-CN"/>
        </w:rPr>
        <w:t>此法讯仅为提供相关资料信息之用，其内容并</w:t>
      </w:r>
    </w:p>
    <w:p w:rsidR="002F3021" w:rsidRDefault="00E67BC9">
      <w:pPr>
        <w:pStyle w:val="Disclaimer"/>
        <w:rPr>
          <w:lang w:eastAsia="zh-CN"/>
        </w:rPr>
      </w:pPr>
      <w:r>
        <w:rPr>
          <w:lang w:eastAsia="zh-CN"/>
        </w:rPr>
        <w:t>不构成法律建议及个案的法律分析。</w:t>
      </w:r>
    </w:p>
    <w:p w:rsidR="002F3021" w:rsidRDefault="00E67BC9">
      <w:pPr>
        <w:pStyle w:val="Disclaimer"/>
        <w:rPr>
          <w:lang w:eastAsia="zh-CN"/>
        </w:rPr>
      </w:pPr>
      <w:r>
        <w:rPr>
          <w:lang w:eastAsia="zh-CN"/>
        </w:rPr>
        <w:t>此法讯的发送并不是为了在易周律师行与用户或浏览者之间建立一种律师与客户之关系。</w:t>
      </w:r>
    </w:p>
    <w:p w:rsidR="002F3021" w:rsidRDefault="00E67BC9">
      <w:pPr>
        <w:pStyle w:val="Disclaimer"/>
        <w:rPr>
          <w:lang w:eastAsia="zh-CN"/>
        </w:rPr>
      </w:pPr>
      <w:r>
        <w:rPr>
          <w:lang w:eastAsia="zh-CN"/>
        </w:rPr>
        <w:t>易周律</w:t>
      </w:r>
      <w:r>
        <w:rPr>
          <w:lang w:eastAsia="zh-CN"/>
        </w:rPr>
        <w:t>师行并不对可从互联网获得的任何第三方内容负责。</w:t>
      </w:r>
    </w:p>
    <w:p w:rsidR="002F3021" w:rsidRDefault="00E67BC9">
      <w:pPr>
        <w:pStyle w:val="Disclaimer"/>
        <w:rPr>
          <w:lang w:eastAsia="zh-CN"/>
        </w:rPr>
      </w:pPr>
      <w:r>
        <w:rPr>
          <w:lang w:eastAsia="zh-CN"/>
        </w:rPr>
        <w:t>如你不希望再收到易周法讯，请发送电邮至</w:t>
      </w:r>
      <w:r>
        <w:rPr>
          <w:lang w:eastAsia="zh-CN"/>
        </w:rPr>
        <w:t xml:space="preserve">  </w:t>
      </w:r>
      <w:hyperlink r:id="rId19">
        <w:r>
          <w:rPr>
            <w:lang w:eastAsia="zh-CN"/>
          </w:rPr>
          <w:t>unsubscribe@charltonslaw.com</w:t>
        </w:r>
      </w:hyperlink>
    </w:p>
    <w:p w:rsidR="002F3021" w:rsidRDefault="00E67BC9">
      <w:pPr>
        <w:pStyle w:val="BlackStrips"/>
      </w:pPr>
      <w:r>
        <w:t xml:space="preserve">Charltons - </w:t>
      </w:r>
      <w:r>
        <w:t>香港法律</w:t>
      </w:r>
      <w:r>
        <w:t xml:space="preserve"> - 2024</w:t>
      </w:r>
      <w:r>
        <w:t>年</w:t>
      </w:r>
      <w:r>
        <w:t>8</w:t>
      </w:r>
      <w:r>
        <w:t>月</w:t>
      </w:r>
      <w:r>
        <w:t>20</w:t>
      </w:r>
      <w:r>
        <w:t>日</w:t>
      </w:r>
    </w:p>
    <w:sectPr w:rsidR="002F302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7BC9">
      <w:pPr>
        <w:spacing w:after="0"/>
      </w:pPr>
      <w:r>
        <w:separator/>
      </w:r>
    </w:p>
  </w:endnote>
  <w:endnote w:type="continuationSeparator" w:id="0">
    <w:p w:rsidR="00000000" w:rsidRDefault="00E67B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021" w:rsidRDefault="00E67BC9">
      <w:r>
        <w:separator/>
      </w:r>
    </w:p>
  </w:footnote>
  <w:footnote w:type="continuationSeparator" w:id="0">
    <w:p w:rsidR="002F3021" w:rsidRDefault="00E67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2B026AE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874AB0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816D9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F3021"/>
    <w:rsid w:val="004E29B3"/>
    <w:rsid w:val="00590D07"/>
    <w:rsid w:val="00784D58"/>
    <w:rsid w:val="008D6863"/>
    <w:rsid w:val="00B86B75"/>
    <w:rsid w:val="00BC48D5"/>
    <w:rsid w:val="00C36279"/>
    <w:rsid w:val="00CD6F87"/>
    <w:rsid w:val="00E315A3"/>
    <w:rsid w:val="00E67BC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8640"/>
  <w15:docId w15:val="{77E04935-0DF6-49CC-A0DE-A22FE670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COM/Speech/HKSI-Luncheon_English.pdf?rev=bdc98a7ef6d748b8a18d09b14355df82&amp;hash=84C7508CE1357E09877CA268FCE8F603" TargetMode="External"/><Relationship Id="rId13" Type="http://schemas.openxmlformats.org/officeDocument/2006/relationships/hyperlink" Target="https://www.hkex.com.hk/Market-Data/Statistics/Consolidated-Reports/HKEX-Monthly-Market-Highlights?sc_lang=zh-HK" TargetMode="External"/><Relationship Id="rId18" Type="http://schemas.openxmlformats.org/officeDocument/2006/relationships/hyperlink" Target="https://www.hkex.com.hk/-/media/HKEX-Market/Join-Our-Markets/IPO/Biotech-Newsletter/HKEXBIOTECH_Newsletter_issue4_eng.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arltonslaw.com.cn/liang-feng-yi-shuo-xiang-gang-xu-yao-yi-ge-peng-bo-de-zhong-xiao-qi-ye-ji-zi-dong-shi-hui" TargetMode="External"/><Relationship Id="rId12" Type="http://schemas.openxmlformats.org/officeDocument/2006/relationships/hyperlink" Target="https://sc.hkex.com.hk/TuniS/www.hkex.com.hk/market-data/statistics/consolidated-reports/annual-market-statistics?sc_lang=zh-cn" TargetMode="External"/><Relationship Id="rId17" Type="http://schemas.openxmlformats.org/officeDocument/2006/relationships/hyperlink" Target="https://www1.hkexnews.hk/listedco/listconews/sehk/2023/0313/2023031300159.pdf" TargetMode="External"/><Relationship Id="rId2" Type="http://schemas.openxmlformats.org/officeDocument/2006/relationships/styles" Target="styles.xml"/><Relationship Id="rId16" Type="http://schemas.openxmlformats.org/officeDocument/2006/relationships/hyperlink" Target="https://www.hkex.com.hk/-/media/HKEX-Market/News/Market-Consultations/Consultation-Paper-on-Review-of-the-GEM-and-Changes-to-the-GEM-and-Main-Board-Listing-Rules/cp2017062.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files/COM/Annual-Report/2020-21/SFC-Annual-Report-2020-21_EN.pdf?rev=b755fe55dbe044f4aabf93c1da8f165c" TargetMode="External"/><Relationship Id="rId5" Type="http://schemas.openxmlformats.org/officeDocument/2006/relationships/footnotes" Target="footnotes.xml"/><Relationship Id="rId15" Type="http://schemas.openxmlformats.org/officeDocument/2006/relationships/hyperlink" Target="https://www.hkex.com.hk/-/media/HKEX-Market/News/Research-Reports/HKEX-Surveys/Cash-Market-Transaction-Survey-2020/CMTS2020_e.pdf" TargetMode="External"/><Relationship Id="rId10" Type="http://schemas.openxmlformats.org/officeDocument/2006/relationships/hyperlink" Target="https://www.sfc.hk/-/media/EN/files/COM/Speech/HKSI-Luncheon_English.pdf?rev=bdc98a7ef6d748b8a18d09b14355df82&amp;hash=84C7508CE1357E09877CA268FCE8F603" TargetMode="External"/><Relationship Id="rId19"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budget.gov.hk/2023/eng/pdf/e_budget_speech_2023-24.pdf" TargetMode="External"/><Relationship Id="rId14" Type="http://schemas.openxmlformats.org/officeDocument/2006/relationships/hyperlink" Target="https://www.hkex.com.hk/-/media/HKEX-Market/News/Research-Reports/HKEX-Surveys/Cash-Market-Transaction-Survey-2010-to-2011/cmts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957</Words>
  <Characters>5455</Characters>
  <Application>Microsoft Office Word</Application>
  <DocSecurity>0</DocSecurity>
  <Lines>45</Lines>
  <Paragraphs>12</Paragraphs>
  <ScaleCrop>false</ScaleCrop>
  <Company>Charltons</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3</cp:revision>
  <dcterms:created xsi:type="dcterms:W3CDTF">2024-08-20T02:36:00Z</dcterms:created>
  <dcterms:modified xsi:type="dcterms:W3CDTF">2024-08-20T02:39:00Z</dcterms:modified>
</cp:coreProperties>
</file>