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16" w:rsidRDefault="00055FE4">
      <w:pPr>
        <w:pStyle w:val="BlackStrips"/>
      </w:pPr>
      <w:r>
        <w:t xml:space="preserve">Charltons - </w:t>
      </w:r>
      <w:r>
        <w:t>香港法律</w:t>
      </w:r>
      <w:r>
        <w:t xml:space="preserve"> - 2022</w:t>
      </w:r>
      <w:r>
        <w:t>年</w:t>
      </w:r>
      <w:r>
        <w:t>6</w:t>
      </w:r>
      <w:r>
        <w:t>月</w:t>
      </w:r>
      <w:r>
        <w:t>24</w:t>
      </w:r>
      <w:r>
        <w:t>日</w:t>
      </w:r>
    </w:p>
    <w:p w:rsidR="00124816" w:rsidRDefault="00055FE4">
      <w:pPr>
        <w:pStyle w:val="ReadOnline"/>
        <w:rPr>
          <w:lang w:eastAsia="zh-CN"/>
        </w:rPr>
      </w:pPr>
      <w:hyperlink r:id="rId7">
        <w:r>
          <w:rPr>
            <w:lang w:eastAsia="zh-CN"/>
          </w:rPr>
          <w:t>online version</w:t>
        </w:r>
      </w:hyperlink>
    </w:p>
    <w:p w:rsidR="00124816" w:rsidRDefault="00055FE4">
      <w:pPr>
        <w:pStyle w:val="Title"/>
        <w:rPr>
          <w:lang w:eastAsia="zh-CN"/>
        </w:rPr>
      </w:pPr>
      <w:r>
        <w:rPr>
          <w:lang w:eastAsia="zh-CN"/>
        </w:rPr>
        <w:t>香港证监会及香港金管局发布有关中介人的虚拟资产相关活动的联合通函</w:t>
      </w:r>
    </w:p>
    <w:p w:rsidR="00124816" w:rsidRDefault="00055FE4">
      <w:pPr>
        <w:pStyle w:val="FirstParagraph"/>
        <w:rPr>
          <w:lang w:eastAsia="zh-CN"/>
        </w:rPr>
      </w:pPr>
      <w:r>
        <w:rPr>
          <w:lang w:eastAsia="zh-CN"/>
        </w:rPr>
        <w:t>证监会</w:t>
      </w:r>
      <w:r>
        <w:rPr>
          <w:lang w:eastAsia="zh-CN"/>
        </w:rPr>
        <w:t>/</w:t>
      </w:r>
      <w:r>
        <w:rPr>
          <w:lang w:eastAsia="zh-CN"/>
        </w:rPr>
        <w:t>香港金管局</w:t>
      </w:r>
      <w:hyperlink r:id="rId8">
        <w:r>
          <w:rPr>
            <w:lang w:eastAsia="zh-CN"/>
          </w:rPr>
          <w:t>有关中介人的虚拟资产相关活动的联合通函</w:t>
        </w:r>
      </w:hyperlink>
      <w:hyperlink w:anchor="footnote-598-1">
        <w:r>
          <w:rPr>
            <w:vertAlign w:val="superscript"/>
            <w:lang w:eastAsia="zh-CN"/>
          </w:rPr>
          <w:t>1</w:t>
        </w:r>
      </w:hyperlink>
      <w:r>
        <w:rPr>
          <w:lang w:eastAsia="zh-CN"/>
        </w:rPr>
        <w:t>订明关于中介人分销虚拟资产相关产品或者向客户提供虚拟资产交易或就虚拟资产提供意见的服务的最新指引。有关虚拟资产基金的</w:t>
      </w:r>
      <w:r>
        <w:rPr>
          <w:lang w:eastAsia="zh-CN"/>
        </w:rPr>
        <w:t>分销，最新的联合通函取代了证监会</w:t>
      </w:r>
      <w:r>
        <w:rPr>
          <w:lang w:eastAsia="zh-CN"/>
        </w:rPr>
        <w:t>2018</w:t>
      </w:r>
      <w:r>
        <w:rPr>
          <w:lang w:eastAsia="zh-CN"/>
        </w:rPr>
        <w:t>年</w:t>
      </w:r>
      <w:r>
        <w:rPr>
          <w:lang w:eastAsia="zh-CN"/>
        </w:rPr>
        <w:t>11</w:t>
      </w:r>
      <w:r>
        <w:rPr>
          <w:lang w:eastAsia="zh-CN"/>
        </w:rPr>
        <w:t>月</w:t>
      </w:r>
      <w:hyperlink r:id="rId9">
        <w:r>
          <w:rPr>
            <w:lang w:eastAsia="zh-CN"/>
          </w:rPr>
          <w:t>向中介人发出有关分销虚拟资产基金的通函</w:t>
        </w:r>
      </w:hyperlink>
      <w:r>
        <w:rPr>
          <w:lang w:eastAsia="zh-CN"/>
        </w:rPr>
        <w:t>。</w:t>
      </w:r>
      <w:hyperlink w:anchor="footnote-598-2">
        <w:r>
          <w:rPr>
            <w:vertAlign w:val="superscript"/>
            <w:lang w:eastAsia="zh-CN"/>
          </w:rPr>
          <w:t>2</w:t>
        </w:r>
      </w:hyperlink>
    </w:p>
    <w:p w:rsidR="00124816" w:rsidRDefault="00055FE4">
      <w:pPr>
        <w:pStyle w:val="BodyText"/>
      </w:pPr>
      <w:r>
        <w:rPr>
          <w:lang w:eastAsia="zh-CN"/>
        </w:rPr>
        <w:t>最新的通函发布于</w:t>
      </w:r>
      <w:r>
        <w:rPr>
          <w:lang w:eastAsia="zh-CN"/>
        </w:rPr>
        <w:t>2022</w:t>
      </w:r>
      <w:r>
        <w:rPr>
          <w:lang w:eastAsia="zh-CN"/>
        </w:rPr>
        <w:t>年</w:t>
      </w:r>
      <w:r>
        <w:rPr>
          <w:lang w:eastAsia="zh-CN"/>
        </w:rPr>
        <w:t>1</w:t>
      </w:r>
      <w:r>
        <w:rPr>
          <w:lang w:eastAsia="zh-CN"/>
        </w:rPr>
        <w:t>月</w:t>
      </w:r>
      <w:r>
        <w:rPr>
          <w:lang w:eastAsia="zh-CN"/>
        </w:rPr>
        <w:t>28</w:t>
      </w:r>
      <w:r>
        <w:rPr>
          <w:lang w:eastAsia="zh-CN"/>
        </w:rPr>
        <w:t>日，为了回应中介人对虚拟资产分销和向客户提供虚拟资产交易服务</w:t>
      </w:r>
      <w:hyperlink w:anchor="footnote-598-3">
        <w:r>
          <w:rPr>
            <w:vertAlign w:val="superscript"/>
            <w:lang w:eastAsia="zh-CN"/>
          </w:rPr>
          <w:t>3</w:t>
        </w:r>
      </w:hyperlink>
      <w:r>
        <w:rPr>
          <w:lang w:eastAsia="zh-CN"/>
        </w:rPr>
        <w:t>日益增长的兴趣，并遵循监管机构根据市场发展和行业查询对其现有政策进行了审查。</w:t>
      </w:r>
      <w:r>
        <w:t>需要注意的要点是：</w:t>
      </w:r>
    </w:p>
    <w:p w:rsidR="00124816" w:rsidRDefault="00055FE4">
      <w:pPr>
        <w:pStyle w:val="Compact"/>
        <w:numPr>
          <w:ilvl w:val="0"/>
          <w:numId w:val="3"/>
        </w:numPr>
        <w:rPr>
          <w:lang w:eastAsia="zh-CN"/>
        </w:rPr>
      </w:pPr>
      <w:r>
        <w:rPr>
          <w:lang w:eastAsia="zh-CN"/>
        </w:rPr>
        <w:t>第</w:t>
      </w:r>
      <w:r>
        <w:rPr>
          <w:lang w:eastAsia="zh-CN"/>
        </w:rPr>
        <w:t>1</w:t>
      </w:r>
      <w:r>
        <w:rPr>
          <w:lang w:eastAsia="zh-CN"/>
        </w:rPr>
        <w:t>类持牌或注册的中介人可以通过与获证监会发牌的虚拟资产交易平台合作，向现有客户提供虚拟资产交易服务，不论是透过介绍客户到有关平台进行直接交易或与有关平台开设综合账户；</w:t>
      </w:r>
    </w:p>
    <w:p w:rsidR="00124816" w:rsidRDefault="00055FE4">
      <w:pPr>
        <w:pStyle w:val="Compact"/>
        <w:numPr>
          <w:ilvl w:val="0"/>
          <w:numId w:val="3"/>
        </w:numPr>
        <w:rPr>
          <w:lang w:eastAsia="zh-CN"/>
        </w:rPr>
      </w:pPr>
      <w:r>
        <w:rPr>
          <w:lang w:eastAsia="zh-CN"/>
        </w:rPr>
        <w:t>中介人只应向专业投资者分销虚拟资产相关产品，这样做必须遵守额外的投资者保护措施，以及证监会《操守准则》对复杂产品的要求；及</w:t>
      </w:r>
    </w:p>
    <w:p w:rsidR="00124816" w:rsidRDefault="00055FE4">
      <w:pPr>
        <w:pStyle w:val="Compact"/>
        <w:numPr>
          <w:ilvl w:val="0"/>
          <w:numId w:val="3"/>
        </w:numPr>
        <w:rPr>
          <w:lang w:eastAsia="zh-CN"/>
        </w:rPr>
      </w:pPr>
      <w:r>
        <w:rPr>
          <w:lang w:eastAsia="zh-CN"/>
        </w:rPr>
        <w:t>该通函允许在《证券及期货（财政资源）规则》附表</w:t>
      </w:r>
      <w:r>
        <w:rPr>
          <w:lang w:eastAsia="zh-CN"/>
        </w:rPr>
        <w:t>3</w:t>
      </w:r>
      <w:r>
        <w:rPr>
          <w:lang w:eastAsia="zh-CN"/>
        </w:rPr>
        <w:t>指明的交易所零售发售交易虚拟资产相关的衍生产品，如属交易所交易的</w:t>
      </w:r>
      <w:r>
        <w:rPr>
          <w:lang w:eastAsia="zh-CN"/>
        </w:rPr>
        <w:t>虚拟资产衍生基金，其须获得相关监管机构授权</w:t>
      </w:r>
      <w:r>
        <w:rPr>
          <w:lang w:eastAsia="zh-CN"/>
        </w:rPr>
        <w:t>/</w:t>
      </w:r>
      <w:r>
        <w:rPr>
          <w:lang w:eastAsia="zh-CN"/>
        </w:rPr>
        <w:t>批准零售发售。</w:t>
      </w:r>
    </w:p>
    <w:p w:rsidR="00124816" w:rsidRDefault="00055FE4">
      <w:pPr>
        <w:pStyle w:val="FirstParagraph"/>
        <w:rPr>
          <w:lang w:eastAsia="zh-CN"/>
        </w:rPr>
      </w:pPr>
      <w:r>
        <w:rPr>
          <w:lang w:eastAsia="zh-CN"/>
        </w:rPr>
        <w:t>金管局及香港保险业监管局亦发出单独的通函，如下所述。</w:t>
      </w:r>
    </w:p>
    <w:p w:rsidR="00124816" w:rsidRDefault="00055FE4">
      <w:pPr>
        <w:pStyle w:val="BodyText"/>
        <w:rPr>
          <w:lang w:eastAsia="zh-CN"/>
        </w:rPr>
      </w:pPr>
      <w:r>
        <w:rPr>
          <w:lang w:eastAsia="zh-CN"/>
        </w:rPr>
        <w:t>虚拟资产及虚拟资产相关活动定义</w:t>
      </w:r>
    </w:p>
    <w:p w:rsidR="00124816" w:rsidRDefault="00055FE4">
      <w:pPr>
        <w:pStyle w:val="BodyText"/>
        <w:rPr>
          <w:lang w:eastAsia="zh-CN"/>
        </w:rPr>
      </w:pPr>
      <w:r>
        <w:rPr>
          <w:lang w:eastAsia="zh-CN"/>
        </w:rPr>
        <w:t>该联合通函使用了香港证监会于</w:t>
      </w:r>
      <w:hyperlink r:id="rId10">
        <w:r>
          <w:rPr>
            <w:lang w:eastAsia="zh-CN"/>
          </w:rPr>
          <w:t>2019</w:t>
        </w:r>
        <w:r>
          <w:rPr>
            <w:lang w:eastAsia="zh-CN"/>
          </w:rPr>
          <w:t>年</w:t>
        </w:r>
        <w:r>
          <w:rPr>
            <w:lang w:eastAsia="zh-CN"/>
          </w:rPr>
          <w:t>11</w:t>
        </w:r>
        <w:r>
          <w:rPr>
            <w:lang w:eastAsia="zh-CN"/>
          </w:rPr>
          <w:t>月发表的立场书：《监管虚拟资产交易平台》</w:t>
        </w:r>
      </w:hyperlink>
      <w:hyperlink w:anchor="footnote-598-4">
        <w:r>
          <w:rPr>
            <w:vertAlign w:val="superscript"/>
            <w:lang w:eastAsia="zh-CN"/>
          </w:rPr>
          <w:t>4</w:t>
        </w:r>
      </w:hyperlink>
      <w:r>
        <w:rPr>
          <w:lang w:eastAsia="zh-CN"/>
        </w:rPr>
        <w:t>中对</w:t>
      </w:r>
      <w:r>
        <w:rPr>
          <w:lang w:eastAsia="zh-CN"/>
        </w:rPr>
        <w:t>“</w:t>
      </w:r>
      <w:r>
        <w:rPr>
          <w:lang w:eastAsia="zh-CN"/>
        </w:rPr>
        <w:t>虚拟资产</w:t>
      </w:r>
      <w:r>
        <w:rPr>
          <w:lang w:eastAsia="zh-CN"/>
        </w:rPr>
        <w:t>”</w:t>
      </w:r>
      <w:r>
        <w:rPr>
          <w:lang w:eastAsia="zh-CN"/>
        </w:rPr>
        <w:t>的定义，其中涵盖以数码形式来表达价值的资产，其形式可以是数码代币（如功能型代币，或以证券或其它资产作为抵押的代币）、任何其他虚拟商品、加密资产或其他本质相同的资产，不论该等资产是否构成《证券及期货条例》所界定的</w:t>
      </w:r>
      <w:r>
        <w:rPr>
          <w:lang w:eastAsia="zh-CN"/>
        </w:rPr>
        <w:t>“</w:t>
      </w:r>
      <w:r>
        <w:rPr>
          <w:lang w:eastAsia="zh-CN"/>
        </w:rPr>
        <w:t>证券</w:t>
      </w:r>
      <w:r>
        <w:rPr>
          <w:lang w:eastAsia="zh-CN"/>
        </w:rPr>
        <w:t>”</w:t>
      </w:r>
      <w:r>
        <w:rPr>
          <w:lang w:eastAsia="zh-CN"/>
        </w:rPr>
        <w:t>或</w:t>
      </w:r>
      <w:r>
        <w:rPr>
          <w:lang w:eastAsia="zh-CN"/>
        </w:rPr>
        <w:t>“</w:t>
      </w:r>
      <w:r>
        <w:rPr>
          <w:lang w:eastAsia="zh-CN"/>
        </w:rPr>
        <w:t>期货合约</w:t>
      </w:r>
      <w:r>
        <w:rPr>
          <w:lang w:eastAsia="zh-CN"/>
        </w:rPr>
        <w:t>”</w:t>
      </w:r>
      <w:r>
        <w:rPr>
          <w:lang w:eastAsia="zh-CN"/>
        </w:rPr>
        <w:t>。</w:t>
      </w:r>
      <w:r>
        <w:rPr>
          <w:lang w:eastAsia="zh-CN"/>
        </w:rPr>
        <w:t xml:space="preserve"> </w:t>
      </w:r>
      <w:r>
        <w:rPr>
          <w:lang w:eastAsia="zh-CN"/>
        </w:rPr>
        <w:t>然而，最新通函中的定义也包括稳定币，但不包括中央银行的数码货币。</w:t>
      </w:r>
    </w:p>
    <w:p w:rsidR="00124816" w:rsidRDefault="00055FE4">
      <w:pPr>
        <w:pStyle w:val="BodyText"/>
        <w:rPr>
          <w:lang w:eastAsia="zh-CN"/>
        </w:rPr>
      </w:pPr>
      <w:r>
        <w:rPr>
          <w:lang w:eastAsia="zh-CN"/>
        </w:rPr>
        <w:t>“</w:t>
      </w:r>
      <w:r>
        <w:rPr>
          <w:lang w:eastAsia="zh-CN"/>
        </w:rPr>
        <w:t>虚拟资产相关产品</w:t>
      </w:r>
      <w:r>
        <w:rPr>
          <w:lang w:eastAsia="zh-CN"/>
        </w:rPr>
        <w:t>”</w:t>
      </w:r>
      <w:r>
        <w:rPr>
          <w:lang w:eastAsia="zh-CN"/>
        </w:rPr>
        <w:t>在联合通函中定义为以下投资产品：</w:t>
      </w:r>
    </w:p>
    <w:p w:rsidR="00124816" w:rsidRDefault="00055FE4">
      <w:pPr>
        <w:pStyle w:val="Compact"/>
        <w:numPr>
          <w:ilvl w:val="0"/>
          <w:numId w:val="4"/>
        </w:numPr>
        <w:rPr>
          <w:lang w:eastAsia="zh-CN"/>
        </w:rPr>
      </w:pPr>
      <w:r>
        <w:rPr>
          <w:lang w:eastAsia="zh-CN"/>
        </w:rPr>
        <w:t>其主要投资目标或策略为投资于虚拟资产；</w:t>
      </w:r>
    </w:p>
    <w:p w:rsidR="00124816" w:rsidRDefault="00055FE4">
      <w:pPr>
        <w:pStyle w:val="Compact"/>
        <w:numPr>
          <w:ilvl w:val="0"/>
          <w:numId w:val="4"/>
        </w:numPr>
        <w:rPr>
          <w:lang w:eastAsia="zh-CN"/>
        </w:rPr>
      </w:pPr>
      <w:r>
        <w:rPr>
          <w:lang w:eastAsia="zh-CN"/>
        </w:rPr>
        <w:t>其价值主要源自虚拟资产的价值及特点；或</w:t>
      </w:r>
    </w:p>
    <w:p w:rsidR="00124816" w:rsidRDefault="00055FE4">
      <w:pPr>
        <w:pStyle w:val="Compact"/>
        <w:numPr>
          <w:ilvl w:val="0"/>
          <w:numId w:val="4"/>
        </w:numPr>
        <w:rPr>
          <w:lang w:eastAsia="zh-CN"/>
        </w:rPr>
      </w:pPr>
      <w:r>
        <w:rPr>
          <w:lang w:eastAsia="zh-CN"/>
        </w:rPr>
        <w:t>跟踪或模拟与虚</w:t>
      </w:r>
      <w:r>
        <w:rPr>
          <w:lang w:eastAsia="zh-CN"/>
        </w:rPr>
        <w:t>拟资产的表现紧密吻合或相应的投资结果或回报。</w:t>
      </w:r>
    </w:p>
    <w:p w:rsidR="00124816" w:rsidRDefault="00055FE4">
      <w:pPr>
        <w:pStyle w:val="FirstParagraph"/>
        <w:rPr>
          <w:lang w:eastAsia="zh-CN"/>
        </w:rPr>
      </w:pPr>
      <w:r>
        <w:rPr>
          <w:lang w:eastAsia="zh-CN"/>
        </w:rPr>
        <w:t>分销虚拟资产相关产品</w:t>
      </w:r>
    </w:p>
    <w:p w:rsidR="00124816" w:rsidRDefault="00055FE4">
      <w:pPr>
        <w:pStyle w:val="BodyText"/>
        <w:rPr>
          <w:lang w:eastAsia="zh-CN"/>
        </w:rPr>
      </w:pPr>
      <w:r>
        <w:rPr>
          <w:lang w:eastAsia="zh-CN"/>
        </w:rPr>
        <w:t>虚拟资产相关产品的风险</w:t>
      </w:r>
    </w:p>
    <w:p w:rsidR="00124816" w:rsidRDefault="00055FE4">
      <w:pPr>
        <w:pStyle w:val="BodyText"/>
        <w:rPr>
          <w:lang w:eastAsia="zh-CN"/>
        </w:rPr>
      </w:pPr>
      <w:r>
        <w:rPr>
          <w:lang w:eastAsia="zh-CN"/>
        </w:rPr>
        <w:t>通函就全球各地的监管情况依然参差不一，及虚拟资产相关产品的虚拟资产服务提供者（包括保管人、基金管理人、虚拟资产交易平台及指数提供者）仍未受到监管，或仅在打击洗钱及恐怖分子资金筹集方面受到监管，或受到轻度监管的事实发表看法。香港监管机构认为缺乏严格规管，带来额外的对手方风险。他们还认为现货缺乏监管是因为存在投资者保障的问题，由定价欠缺透明度至潜在的市场操纵不等。</w:t>
      </w:r>
    </w:p>
    <w:p w:rsidR="00124816" w:rsidRDefault="00055FE4">
      <w:pPr>
        <w:pStyle w:val="BodyText"/>
        <w:rPr>
          <w:lang w:eastAsia="zh-CN"/>
        </w:rPr>
      </w:pPr>
      <w:r>
        <w:rPr>
          <w:lang w:eastAsia="zh-CN"/>
        </w:rPr>
        <w:lastRenderedPageBreak/>
        <w:t>虚拟资产相关产品被视为复杂产品</w:t>
      </w:r>
    </w:p>
    <w:p w:rsidR="00124816" w:rsidRDefault="00055FE4">
      <w:pPr>
        <w:pStyle w:val="BodyText"/>
        <w:rPr>
          <w:lang w:eastAsia="zh-CN"/>
        </w:rPr>
      </w:pPr>
      <w:r>
        <w:rPr>
          <w:lang w:eastAsia="zh-CN"/>
        </w:rPr>
        <w:t>联合通函指出由于零售投资</w:t>
      </w:r>
      <w:r>
        <w:rPr>
          <w:lang w:eastAsia="zh-CN"/>
        </w:rPr>
        <w:t>者不大可能理解虚拟资产相关产品有关的风险，就证监会</w:t>
      </w:r>
      <w:hyperlink r:id="rId11">
        <w:r>
          <w:rPr>
            <w:lang w:eastAsia="zh-CN"/>
          </w:rPr>
          <w:t>《操守准</w:t>
        </w:r>
        <w:r>
          <w:rPr>
            <w:lang w:eastAsia="zh-CN"/>
          </w:rPr>
          <w:t>则》</w:t>
        </w:r>
      </w:hyperlink>
      <w:hyperlink w:anchor="footnote-598-5">
        <w:r>
          <w:rPr>
            <w:vertAlign w:val="superscript"/>
            <w:lang w:eastAsia="zh-CN"/>
          </w:rPr>
          <w:t>5</w:t>
        </w:r>
      </w:hyperlink>
      <w:r>
        <w:rPr>
          <w:lang w:eastAsia="zh-CN"/>
        </w:rPr>
        <w:t xml:space="preserve"> </w:t>
      </w:r>
      <w:r>
        <w:rPr>
          <w:lang w:eastAsia="zh-CN"/>
        </w:rPr>
        <w:t>第</w:t>
      </w:r>
      <w:r>
        <w:rPr>
          <w:lang w:eastAsia="zh-CN"/>
        </w:rPr>
        <w:t>5.5</w:t>
      </w:r>
      <w:r>
        <w:rPr>
          <w:lang w:eastAsia="zh-CN"/>
        </w:rPr>
        <w:t>段及其</w:t>
      </w:r>
      <w:hyperlink r:id="rId12">
        <w:r>
          <w:rPr>
            <w:lang w:eastAsia="zh-CN"/>
          </w:rPr>
          <w:t>《网上分销及投资谘询平台指引》</w:t>
        </w:r>
      </w:hyperlink>
      <w:hyperlink w:anchor="footnote-598-6">
        <w:r>
          <w:rPr>
            <w:vertAlign w:val="superscript"/>
            <w:lang w:eastAsia="zh-CN"/>
          </w:rPr>
          <w:t>6</w:t>
        </w:r>
      </w:hyperlink>
      <w:r>
        <w:rPr>
          <w:lang w:eastAsia="zh-CN"/>
        </w:rPr>
        <w:t>第</w:t>
      </w:r>
      <w:r>
        <w:rPr>
          <w:lang w:eastAsia="zh-CN"/>
        </w:rPr>
        <w:t>6</w:t>
      </w:r>
      <w:r>
        <w:rPr>
          <w:lang w:eastAsia="zh-CN"/>
        </w:rPr>
        <w:t>章而言，虚拟资产应被视为</w:t>
      </w:r>
      <w:r>
        <w:rPr>
          <w:lang w:eastAsia="zh-CN"/>
        </w:rPr>
        <w:t>“</w:t>
      </w:r>
      <w:r>
        <w:rPr>
          <w:lang w:eastAsia="zh-CN"/>
        </w:rPr>
        <w:t>复杂产品</w:t>
      </w:r>
      <w:r>
        <w:rPr>
          <w:lang w:eastAsia="zh-CN"/>
        </w:rPr>
        <w:t>”</w:t>
      </w:r>
      <w:r>
        <w:rPr>
          <w:lang w:eastAsia="zh-CN"/>
        </w:rPr>
        <w:t>。因此中介人须遵守有关复杂产品销售的《操守准则》第</w:t>
      </w:r>
      <w:r>
        <w:rPr>
          <w:lang w:eastAsia="zh-CN"/>
        </w:rPr>
        <w:t>5.5</w:t>
      </w:r>
      <w:r>
        <w:rPr>
          <w:lang w:eastAsia="zh-CN"/>
        </w:rPr>
        <w:t>段的要求，包括有义务确保虚拟资产相关产品合理地适合相关客户。在厘定合适性时，中介人须确保在考虑客户净资产的前提下，确保客户拟投资于虚拟资产相关产品的总额是合理的。证监会关于复杂产品的销售要求适用，无论中介人是否招揽或建议销售。</w:t>
      </w:r>
    </w:p>
    <w:p w:rsidR="00124816" w:rsidRDefault="00055FE4">
      <w:pPr>
        <w:pStyle w:val="BodyText"/>
        <w:rPr>
          <w:lang w:eastAsia="zh-CN"/>
        </w:rPr>
      </w:pPr>
      <w:r>
        <w:rPr>
          <w:lang w:eastAsia="zh-CN"/>
        </w:rPr>
        <w:t>额外的投资者保护措施</w:t>
      </w:r>
    </w:p>
    <w:p w:rsidR="00124816" w:rsidRDefault="00055FE4">
      <w:pPr>
        <w:pStyle w:val="BodyText"/>
        <w:rPr>
          <w:lang w:eastAsia="zh-CN"/>
        </w:rPr>
      </w:pPr>
      <w:r>
        <w:rPr>
          <w:lang w:eastAsia="zh-CN"/>
        </w:rPr>
        <w:t>施加额外的投资者保护措施是为了解决与</w:t>
      </w:r>
      <w:r>
        <w:rPr>
          <w:lang w:eastAsia="zh-CN"/>
        </w:rPr>
        <w:t>虚拟资产相关产品有关的具体风险，包括在海外传统交易所买卖的虚拟资产相关的非衍生产品，如虚拟资产交易所买卖基金（交易所买卖基金</w:t>
      </w:r>
      <w:r>
        <w:rPr>
          <w:b/>
          <w:lang w:eastAsia="zh-CN"/>
        </w:rPr>
        <w:t>ETF</w:t>
      </w:r>
      <w:r>
        <w:rPr>
          <w:lang w:eastAsia="zh-CN"/>
        </w:rPr>
        <w:t>）及交易所买卖产品（交易所买卖产品</w:t>
      </w:r>
      <w:r>
        <w:rPr>
          <w:b/>
          <w:lang w:eastAsia="zh-CN"/>
        </w:rPr>
        <w:t>ETP</w:t>
      </w:r>
      <w:r>
        <w:rPr>
          <w:lang w:eastAsia="zh-CN"/>
        </w:rPr>
        <w:t>）。</w:t>
      </w:r>
    </w:p>
    <w:p w:rsidR="00124816" w:rsidRDefault="00055FE4">
      <w:pPr>
        <w:pStyle w:val="BodyText"/>
        <w:rPr>
          <w:lang w:eastAsia="zh-CN"/>
        </w:rPr>
      </w:pPr>
      <w:r>
        <w:rPr>
          <w:b/>
          <w:i/>
          <w:lang w:eastAsia="zh-CN"/>
        </w:rPr>
        <w:t>销售限制</w:t>
      </w:r>
    </w:p>
    <w:p w:rsidR="00124816" w:rsidRDefault="00055FE4">
      <w:pPr>
        <w:pStyle w:val="BodyText"/>
        <w:rPr>
          <w:lang w:eastAsia="zh-CN"/>
        </w:rPr>
      </w:pPr>
      <w:r>
        <w:rPr>
          <w:lang w:eastAsia="zh-CN"/>
        </w:rPr>
        <w:t>除在指明交易所买卖的虚拟资产相关衍生产品（如下所述）外，被视为复杂产品（如海外虚拟资产非衍生产品</w:t>
      </w:r>
      <w:r>
        <w:rPr>
          <w:lang w:eastAsia="zh-CN"/>
        </w:rPr>
        <w:t xml:space="preserve"> ETF</w:t>
      </w:r>
      <w:r>
        <w:rPr>
          <w:lang w:eastAsia="zh-CN"/>
        </w:rPr>
        <w:t>）的虚拟资产相关产品只应售予专业投资者。</w:t>
      </w:r>
    </w:p>
    <w:p w:rsidR="00124816" w:rsidRDefault="00055FE4">
      <w:pPr>
        <w:pStyle w:val="BodyText"/>
        <w:rPr>
          <w:lang w:eastAsia="zh-CN"/>
        </w:rPr>
      </w:pPr>
      <w:r>
        <w:rPr>
          <w:b/>
          <w:i/>
          <w:lang w:eastAsia="zh-CN"/>
        </w:rPr>
        <w:t>虚拟资产知识评估</w:t>
      </w:r>
    </w:p>
    <w:p w:rsidR="00124816" w:rsidRDefault="00055FE4">
      <w:pPr>
        <w:pStyle w:val="BodyText"/>
        <w:rPr>
          <w:lang w:eastAsia="zh-CN"/>
        </w:rPr>
      </w:pPr>
      <w:r>
        <w:rPr>
          <w:lang w:eastAsia="zh-CN"/>
        </w:rPr>
        <w:t>除非客户是证监会《操守准则》定义的机构专业投资者</w:t>
      </w:r>
      <w:hyperlink w:anchor="footnote-598-7">
        <w:r>
          <w:rPr>
            <w:vertAlign w:val="superscript"/>
            <w:lang w:eastAsia="zh-CN"/>
          </w:rPr>
          <w:t>7</w:t>
        </w:r>
      </w:hyperlink>
      <w:r>
        <w:rPr>
          <w:lang w:eastAsia="zh-CN"/>
        </w:rPr>
        <w:t>或合资格的法团专业投资者</w:t>
      </w:r>
      <w:hyperlink w:anchor="footnote-598-8">
        <w:r>
          <w:rPr>
            <w:vertAlign w:val="superscript"/>
            <w:lang w:eastAsia="zh-CN"/>
          </w:rPr>
          <w:t>8</w:t>
        </w:r>
      </w:hyperlink>
      <w:r>
        <w:rPr>
          <w:lang w:eastAsia="zh-CN"/>
        </w:rPr>
        <w:t>，否则中介人在代表客户执行虚拟资产相关产品的交易前，应先评估该客户在投资于虚拟资产或虚拟资产相关产品方面的知识。如客户不具备有关知识，中介人只可在执行有关交易乃是</w:t>
      </w:r>
      <w:r>
        <w:rPr>
          <w:lang w:eastAsia="zh-CN"/>
        </w:rPr>
        <w:t>(a)</w:t>
      </w:r>
      <w:r>
        <w:rPr>
          <w:lang w:eastAsia="zh-CN"/>
        </w:rPr>
        <w:t>维护客户最佳利益的行事方式及其</w:t>
      </w:r>
      <w:r>
        <w:rPr>
          <w:lang w:eastAsia="zh-CN"/>
        </w:rPr>
        <w:t>(b)</w:t>
      </w:r>
      <w:r>
        <w:rPr>
          <w:lang w:eastAsia="zh-CN"/>
        </w:rPr>
        <w:t>已向客户提供关于虚拟资产的性质及风险的培训的前提下，着手执行有关交易。</w:t>
      </w:r>
    </w:p>
    <w:p w:rsidR="00124816" w:rsidRDefault="00055FE4">
      <w:pPr>
        <w:pStyle w:val="BodyText"/>
        <w:rPr>
          <w:lang w:eastAsia="zh-CN"/>
        </w:rPr>
      </w:pPr>
      <w:r>
        <w:rPr>
          <w:lang w:eastAsia="zh-CN"/>
        </w:rPr>
        <w:t>在评估客户是否可被视为具有虚拟资产相关产品的知识时，中介人可以考虑客户是否有曾进行虚拟资产或虚拟资产相关产品交易的经验或客户曾否接受有关虚拟资产或虚拟资产相关产品的</w:t>
      </w:r>
      <w:r>
        <w:rPr>
          <w:lang w:eastAsia="zh-CN"/>
        </w:rPr>
        <w:t>培训或出席有关课程（通函</w:t>
      </w:r>
      <w:hyperlink r:id="rId13">
        <w:r>
          <w:rPr>
            <w:lang w:eastAsia="zh-CN"/>
          </w:rPr>
          <w:t>附录</w:t>
        </w:r>
        <w:r>
          <w:rPr>
            <w:lang w:eastAsia="zh-CN"/>
          </w:rPr>
          <w:t>1</w:t>
        </w:r>
      </w:hyperlink>
      <w:hyperlink w:anchor="footnote-598-9">
        <w:r>
          <w:rPr>
            <w:vertAlign w:val="superscript"/>
            <w:lang w:eastAsia="zh-CN"/>
          </w:rPr>
          <w:t>9</w:t>
        </w:r>
      </w:hyperlink>
      <w:r>
        <w:rPr>
          <w:lang w:eastAsia="zh-CN"/>
        </w:rPr>
        <w:t>）。在执行虚拟资产相关产品的交易之前，可以进行一次性的知识评估。如果客户在过去三年内对任何虚拟资产或虚拟资产相关产品进行了五次或五次以上的交易，则可视为具有虚拟资产知识。</w:t>
      </w:r>
    </w:p>
    <w:p w:rsidR="00124816" w:rsidRDefault="00055FE4">
      <w:pPr>
        <w:pStyle w:val="BodyText"/>
        <w:rPr>
          <w:lang w:eastAsia="zh-CN"/>
        </w:rPr>
      </w:pPr>
      <w:r>
        <w:rPr>
          <w:lang w:eastAsia="zh-CN"/>
        </w:rPr>
        <w:t>中介人亦应确保客户有足够的净资产，使其有能力承担买卖虚拟资产相关产品的风险和可能招致的损失。</w:t>
      </w:r>
    </w:p>
    <w:p w:rsidR="00124816" w:rsidRDefault="00055FE4">
      <w:pPr>
        <w:pStyle w:val="BodyText"/>
        <w:rPr>
          <w:lang w:eastAsia="zh-CN"/>
        </w:rPr>
      </w:pPr>
      <w:r>
        <w:rPr>
          <w:lang w:eastAsia="zh-CN"/>
        </w:rPr>
        <w:t>在指明交易所买卖的虚拟资产相关衍生产品</w:t>
      </w:r>
    </w:p>
    <w:p w:rsidR="00124816" w:rsidRDefault="00055FE4">
      <w:pPr>
        <w:pStyle w:val="BodyText"/>
        <w:rPr>
          <w:lang w:eastAsia="zh-CN"/>
        </w:rPr>
      </w:pPr>
      <w:r>
        <w:rPr>
          <w:lang w:eastAsia="zh-CN"/>
        </w:rPr>
        <w:t>该通函允许向香港的零售投资者发售有限类别的虚拟资产相关衍生产品。这些虚拟资产相关衍生产品在《证券及期货（财政资源）规则》（</w:t>
      </w:r>
      <w:r>
        <w:rPr>
          <w:b/>
          <w:lang w:eastAsia="zh-CN"/>
        </w:rPr>
        <w:t>指定交易所</w:t>
      </w:r>
      <w:r>
        <w:rPr>
          <w:lang w:eastAsia="zh-CN"/>
        </w:rPr>
        <w:t>）附表</w:t>
      </w:r>
      <w:r>
        <w:rPr>
          <w:lang w:eastAsia="zh-CN"/>
        </w:rPr>
        <w:t>3</w:t>
      </w:r>
      <w:r>
        <w:rPr>
          <w:lang w:eastAsia="zh-CN"/>
        </w:rPr>
        <w:t>指明的交易所之一买卖，并就交易所买卖虚拟资产衍生产品基金而言，该类基金必须获得通函附录</w:t>
      </w:r>
      <w:r>
        <w:rPr>
          <w:lang w:eastAsia="zh-CN"/>
        </w:rPr>
        <w:t>2</w:t>
      </w:r>
      <w:r>
        <w:rPr>
          <w:lang w:eastAsia="zh-CN"/>
        </w:rPr>
        <w:t>指定的在指定司法管辖区获相关监管机构认可或核准售予零售投资者。指定的司法管辖区有澳大利亚、法国、德国、爱尔兰、卢森堡、马来西亚、荷兰、瑞士、台湾、中国</w:t>
      </w:r>
      <w:r>
        <w:rPr>
          <w:lang w:eastAsia="zh-CN"/>
        </w:rPr>
        <w:t>、泰国、英国和美国。</w:t>
      </w:r>
    </w:p>
    <w:p w:rsidR="00124816" w:rsidRDefault="00055FE4">
      <w:pPr>
        <w:pStyle w:val="BodyText"/>
        <w:rPr>
          <w:lang w:eastAsia="zh-CN"/>
        </w:rPr>
      </w:pPr>
      <w:r>
        <w:rPr>
          <w:lang w:eastAsia="zh-CN"/>
        </w:rPr>
        <w:t>针对这些产品，</w:t>
      </w:r>
      <w:r>
        <w:rPr>
          <w:lang w:eastAsia="zh-CN"/>
        </w:rPr>
        <w:t>“</w:t>
      </w:r>
      <w:r>
        <w:rPr>
          <w:lang w:eastAsia="zh-CN"/>
        </w:rPr>
        <w:t>仅限于专业投资者</w:t>
      </w:r>
      <w:r>
        <w:rPr>
          <w:lang w:eastAsia="zh-CN"/>
        </w:rPr>
        <w:t>”</w:t>
      </w:r>
      <w:r>
        <w:rPr>
          <w:lang w:eastAsia="zh-CN"/>
        </w:rPr>
        <w:t>的限制有所放宽，因为就在指定交易所买卖的虚拟资产期货合约而言，其买卖乃受到传统规则所规管，因此在定价透明度及潜在市场操纵方面的疑虑或会较少。相同的情况亦可见于在指定司法管辖区获相关监管机构认可或核准售予零售投资者且在指明交易所上买卖的公众期货类虚拟资产</w:t>
      </w:r>
      <w:r>
        <w:rPr>
          <w:lang w:eastAsia="zh-CN"/>
        </w:rPr>
        <w:t>ETF</w:t>
      </w:r>
      <w:r>
        <w:rPr>
          <w:lang w:eastAsia="zh-CN"/>
        </w:rPr>
        <w:t>。然而，鉴于这些产品被视为复杂交易所买卖衍生产品，而根据现行的复杂产品制度，若当中并无涉及招揽或建议行为，中介人便可在无须遵从合适性规定的情况下分销这些产品，但却必须遵从有关衍生产品的现行规定（见下</w:t>
      </w:r>
      <w:r>
        <w:rPr>
          <w:lang w:eastAsia="zh-CN"/>
        </w:rPr>
        <w:t>文）。中介人亦必须对投资这些产品的投资者进行虚拟资产知识评估。</w:t>
      </w:r>
    </w:p>
    <w:p w:rsidR="00124816" w:rsidRDefault="00055FE4">
      <w:pPr>
        <w:pStyle w:val="BodyText"/>
        <w:rPr>
          <w:lang w:eastAsia="zh-CN"/>
        </w:rPr>
      </w:pPr>
      <w:r>
        <w:rPr>
          <w:lang w:eastAsia="zh-CN"/>
        </w:rPr>
        <w:lastRenderedPageBreak/>
        <w:t>其它交易所买卖的虚拟资产相关衍生产品</w:t>
      </w:r>
    </w:p>
    <w:p w:rsidR="00124816" w:rsidRDefault="00055FE4">
      <w:pPr>
        <w:pStyle w:val="BodyText"/>
        <w:rPr>
          <w:lang w:eastAsia="zh-CN"/>
        </w:rPr>
      </w:pPr>
      <w:r>
        <w:rPr>
          <w:lang w:eastAsia="zh-CN"/>
        </w:rPr>
        <w:t>其他交易所买卖虚拟资产相关衍生产品不论是否在指明交易所买卖，若与证监会网站刊载的</w:t>
      </w:r>
      <w:hyperlink r:id="rId14">
        <w:r>
          <w:rPr>
            <w:lang w:eastAsia="zh-CN"/>
          </w:rPr>
          <w:t>非复杂及复杂产品例子的非详尽无遗列表</w:t>
        </w:r>
      </w:hyperlink>
      <w:hyperlink w:anchor="footnote-598-10">
        <w:r>
          <w:rPr>
            <w:vertAlign w:val="superscript"/>
            <w:lang w:eastAsia="zh-CN"/>
          </w:rPr>
          <w:t>10</w:t>
        </w:r>
      </w:hyperlink>
      <w:r>
        <w:rPr>
          <w:lang w:eastAsia="zh-CN"/>
        </w:rPr>
        <w:t>所列的复杂交易所买卖衍生产品并非属相同一种类，均会一概被视为复杂产品。在分销这些交易所买卖虚拟资产相关衍生产品时，将须全面符合复杂产品规定及采取上文</w:t>
      </w:r>
      <w:r>
        <w:rPr>
          <w:lang w:eastAsia="zh-CN"/>
        </w:rPr>
        <w:t>“</w:t>
      </w:r>
      <w:r>
        <w:rPr>
          <w:lang w:eastAsia="zh-CN"/>
        </w:rPr>
        <w:t>额外投资者保障措施</w:t>
      </w:r>
      <w:r>
        <w:rPr>
          <w:lang w:eastAsia="zh-CN"/>
        </w:rPr>
        <w:t>”</w:t>
      </w:r>
      <w:r>
        <w:rPr>
          <w:lang w:eastAsia="zh-CN"/>
        </w:rPr>
        <w:t>所载列的额外投资者保障措施。通函</w:t>
      </w:r>
      <w:hyperlink r:id="rId15">
        <w:r>
          <w:rPr>
            <w:lang w:eastAsia="zh-CN"/>
          </w:rPr>
          <w:t>附录</w:t>
        </w:r>
      </w:hyperlink>
      <w:r>
        <w:rPr>
          <w:lang w:eastAsia="zh-CN"/>
        </w:rPr>
        <w:t>3</w:t>
      </w:r>
      <w:r>
        <w:rPr>
          <w:lang w:eastAsia="zh-CN"/>
        </w:rPr>
        <w:t>载有一个流程图，以说明在判断虚拟资产相关产品是否复杂产</w:t>
      </w:r>
      <w:r>
        <w:rPr>
          <w:lang w:eastAsia="zh-CN"/>
        </w:rPr>
        <w:t>品时所需考虑的因素。</w:t>
      </w:r>
    </w:p>
    <w:p w:rsidR="00124816" w:rsidRDefault="00055FE4">
      <w:pPr>
        <w:pStyle w:val="BodyText"/>
        <w:rPr>
          <w:lang w:eastAsia="zh-CN"/>
        </w:rPr>
      </w:pPr>
      <w:r>
        <w:rPr>
          <w:lang w:eastAsia="zh-CN"/>
        </w:rPr>
        <w:t>该通函提醒中介人遵守香港及其他司法管辖区可能对某特定虚拟资产相关产品施加的销售限制，并尤其应遵守《证券及期货条例》第</w:t>
      </w:r>
      <w:r>
        <w:rPr>
          <w:lang w:eastAsia="zh-CN"/>
        </w:rPr>
        <w:t xml:space="preserve"> IV </w:t>
      </w:r>
      <w:r>
        <w:rPr>
          <w:lang w:eastAsia="zh-CN"/>
        </w:rPr>
        <w:t>部的条文，当中禁止向香港公众销售未经证监会认可的投资产品。中介人应知晓针对个别司法管辖区、交易所或产品的销售限制可能会禁止向零售投资者授予虚拟资产相关产品。若虚拟资产相关产品在网上平台分销，该平台必须经妥善设计，并设有适当的取览权及控制措施，以确保遵守有关销售限制。</w:t>
      </w:r>
    </w:p>
    <w:p w:rsidR="00124816" w:rsidRDefault="00055FE4">
      <w:pPr>
        <w:pStyle w:val="BodyText"/>
        <w:rPr>
          <w:lang w:eastAsia="zh-CN"/>
        </w:rPr>
      </w:pPr>
      <w:r>
        <w:rPr>
          <w:lang w:eastAsia="zh-CN"/>
        </w:rPr>
        <w:t>虚拟资产相关产品的合适性评估</w:t>
      </w:r>
    </w:p>
    <w:p w:rsidR="00124816" w:rsidRDefault="00055FE4">
      <w:pPr>
        <w:pStyle w:val="BodyText"/>
        <w:rPr>
          <w:lang w:eastAsia="zh-CN"/>
        </w:rPr>
      </w:pPr>
      <w:r>
        <w:rPr>
          <w:lang w:eastAsia="zh-CN"/>
        </w:rPr>
        <w:t>中介人亦应遵守证监会</w:t>
      </w:r>
      <w:hyperlink r:id="rId16">
        <w:r>
          <w:rPr>
            <w:lang w:eastAsia="zh-CN"/>
          </w:rPr>
          <w:t>《有关合适性的常见问题》</w:t>
        </w:r>
      </w:hyperlink>
      <w:hyperlink w:anchor="footnote-598-11">
        <w:r>
          <w:rPr>
            <w:vertAlign w:val="superscript"/>
            <w:lang w:eastAsia="zh-CN"/>
          </w:rPr>
          <w:t>11</w:t>
        </w:r>
      </w:hyperlink>
      <w:r>
        <w:rPr>
          <w:lang w:eastAsia="zh-CN"/>
        </w:rPr>
        <w:t>及</w:t>
      </w:r>
      <w:hyperlink r:id="rId17">
        <w:r>
          <w:rPr>
            <w:lang w:eastAsia="zh-CN"/>
          </w:rPr>
          <w:t>《有关触发为客户提供合理适当建议的责任的〈常见问题〉》</w:t>
        </w:r>
      </w:hyperlink>
      <w:r>
        <w:rPr>
          <w:lang w:eastAsia="zh-CN"/>
        </w:rPr>
        <w:t xml:space="preserve"> </w:t>
      </w:r>
      <w:hyperlink w:anchor="footnote-598-12">
        <w:r>
          <w:rPr>
            <w:vertAlign w:val="superscript"/>
            <w:lang w:eastAsia="zh-CN"/>
          </w:rPr>
          <w:t>12</w:t>
        </w:r>
      </w:hyperlink>
      <w:r>
        <w:rPr>
          <w:lang w:eastAsia="zh-CN"/>
        </w:rPr>
        <w:t>（</w:t>
      </w:r>
      <w:r>
        <w:rPr>
          <w:b/>
          <w:lang w:eastAsia="zh-CN"/>
        </w:rPr>
        <w:t>合适性常见问题</w:t>
      </w:r>
      <w:r>
        <w:rPr>
          <w:lang w:eastAsia="zh-CN"/>
        </w:rPr>
        <w:t>）所补充的合适性的义务（如适用），当中包括：</w:t>
      </w:r>
    </w:p>
    <w:p w:rsidR="00124816" w:rsidRDefault="00055FE4">
      <w:pPr>
        <w:pStyle w:val="Compact"/>
        <w:numPr>
          <w:ilvl w:val="0"/>
          <w:numId w:val="5"/>
        </w:numPr>
        <w:rPr>
          <w:lang w:eastAsia="zh-CN"/>
        </w:rPr>
      </w:pPr>
      <w:r>
        <w:rPr>
          <w:lang w:eastAsia="zh-CN"/>
        </w:rPr>
        <w:t>确保向客户作出的建议或招揽在所有情况下都是适合客户的。关于虚拟资产相关产品，中介人应顾及客户的风险承受能力及财政状况等，勤勉尽责地评估虚拟资产相关产品的性质及特性（</w:t>
      </w:r>
      <w:r>
        <w:rPr>
          <w:lang w:eastAsia="zh-CN"/>
        </w:rPr>
        <w:t>包括相关虚拟资产的杠杆效应及风险）是否适合客户，以及符合客户的最佳利益；</w:t>
      </w:r>
    </w:p>
    <w:p w:rsidR="00124816" w:rsidRDefault="00055FE4">
      <w:pPr>
        <w:pStyle w:val="Compact"/>
        <w:numPr>
          <w:ilvl w:val="0"/>
          <w:numId w:val="5"/>
        </w:numPr>
        <w:rPr>
          <w:lang w:eastAsia="zh-CN"/>
        </w:rPr>
      </w:pPr>
      <w:r>
        <w:rPr>
          <w:lang w:eastAsia="zh-CN"/>
        </w:rPr>
        <w:t>中介人应确保遵守证监会《操守准则》第</w:t>
      </w:r>
      <w:r>
        <w:rPr>
          <w:lang w:eastAsia="zh-CN"/>
        </w:rPr>
        <w:t>5.1A</w:t>
      </w:r>
      <w:r>
        <w:rPr>
          <w:lang w:eastAsia="zh-CN"/>
        </w:rPr>
        <w:t>及</w:t>
      </w:r>
      <w:r>
        <w:rPr>
          <w:lang w:eastAsia="zh-CN"/>
        </w:rPr>
        <w:t>5.3</w:t>
      </w:r>
      <w:r>
        <w:rPr>
          <w:lang w:eastAsia="zh-CN"/>
        </w:rPr>
        <w:t>段中关于虚拟资产相关衍生产品的规定；及</w:t>
      </w:r>
    </w:p>
    <w:p w:rsidR="00124816" w:rsidRDefault="00055FE4">
      <w:pPr>
        <w:pStyle w:val="Compact"/>
        <w:numPr>
          <w:ilvl w:val="0"/>
          <w:numId w:val="5"/>
        </w:numPr>
        <w:rPr>
          <w:lang w:eastAsia="zh-CN"/>
        </w:rPr>
      </w:pPr>
      <w:r>
        <w:rPr>
          <w:lang w:eastAsia="zh-CN"/>
        </w:rPr>
        <w:t>对有关产品进行妥善的尽职审查，包括了解有关产品的风险及特性（尤其是相关虚拟资产固有的高风险性质），目标投资者（包括任何适用的销售限制），以及对有关产品的监管状况。本通函附录</w:t>
      </w:r>
      <w:r>
        <w:rPr>
          <w:lang w:eastAsia="zh-CN"/>
        </w:rPr>
        <w:t xml:space="preserve"> 4 </w:t>
      </w:r>
      <w:r>
        <w:rPr>
          <w:lang w:eastAsia="zh-CN"/>
        </w:rPr>
        <w:t>载有适用于中介人分销未经认可虚拟资产基金的额外尽职审查义务。</w:t>
      </w:r>
    </w:p>
    <w:p w:rsidR="00124816" w:rsidRDefault="00055FE4">
      <w:pPr>
        <w:pStyle w:val="FirstParagraph"/>
        <w:rPr>
          <w:lang w:eastAsia="zh-CN"/>
        </w:rPr>
      </w:pPr>
      <w:r>
        <w:rPr>
          <w:b/>
          <w:i/>
          <w:lang w:eastAsia="zh-CN"/>
        </w:rPr>
        <w:t>对未经认可虚拟资产基金的额外尽职审查</w:t>
      </w:r>
    </w:p>
    <w:p w:rsidR="00124816" w:rsidRDefault="00055FE4">
      <w:pPr>
        <w:pStyle w:val="BodyText"/>
        <w:rPr>
          <w:lang w:eastAsia="zh-CN"/>
        </w:rPr>
      </w:pPr>
      <w:r>
        <w:rPr>
          <w:lang w:eastAsia="zh-CN"/>
        </w:rPr>
        <w:t>此前，证监会</w:t>
      </w:r>
      <w:r>
        <w:rPr>
          <w:lang w:eastAsia="zh-CN"/>
        </w:rPr>
        <w:t>2018</w:t>
      </w:r>
      <w:r>
        <w:rPr>
          <w:lang w:eastAsia="zh-CN"/>
        </w:rPr>
        <w:t>年</w:t>
      </w:r>
      <w:r>
        <w:rPr>
          <w:lang w:eastAsia="zh-CN"/>
        </w:rPr>
        <w:t>11</w:t>
      </w:r>
      <w:r>
        <w:rPr>
          <w:lang w:eastAsia="zh-CN"/>
        </w:rPr>
        <w:t>月</w:t>
      </w:r>
      <w:r>
        <w:rPr>
          <w:lang w:eastAsia="zh-CN"/>
        </w:rPr>
        <w:t>“</w:t>
      </w:r>
      <w:r>
        <w:rPr>
          <w:lang w:eastAsia="zh-CN"/>
        </w:rPr>
        <w:t>向中介人发出有关分销虚拟资产基金的通函</w:t>
      </w:r>
      <w:r>
        <w:rPr>
          <w:lang w:eastAsia="zh-CN"/>
        </w:rPr>
        <w:t>”</w:t>
      </w:r>
      <w:r>
        <w:rPr>
          <w:lang w:eastAsia="zh-CN"/>
        </w:rPr>
        <w:t>规定的未经认可的虚拟资产基金的分销商需要进行的尽职调查目前载列于香港金管局</w:t>
      </w:r>
      <w:r>
        <w:rPr>
          <w:lang w:eastAsia="zh-CN"/>
        </w:rPr>
        <w:t>/</w:t>
      </w:r>
      <w:r>
        <w:rPr>
          <w:lang w:eastAsia="zh-CN"/>
        </w:rPr>
        <w:t>证监会</w:t>
      </w:r>
      <w:hyperlink r:id="rId18">
        <w:r>
          <w:rPr>
            <w:lang w:eastAsia="zh-CN"/>
          </w:rPr>
          <w:t>有关中介人的虚拟资产相关活动的联合通函</w:t>
        </w:r>
      </w:hyperlink>
      <w:r>
        <w:rPr>
          <w:lang w:eastAsia="zh-CN"/>
        </w:rPr>
        <w:t>的</w:t>
      </w:r>
      <w:hyperlink r:id="rId19">
        <w:r>
          <w:rPr>
            <w:lang w:eastAsia="zh-CN"/>
          </w:rPr>
          <w:t>附录</w:t>
        </w:r>
      </w:hyperlink>
      <w:r>
        <w:rPr>
          <w:lang w:eastAsia="zh-CN"/>
        </w:rPr>
        <w:t>4</w:t>
      </w:r>
      <w:r>
        <w:rPr>
          <w:lang w:eastAsia="zh-CN"/>
        </w:rPr>
        <w:t>中。当中规定分销未经证监会认可的虚拟资产基金用以零售发售的中介人应对有关基金、基金管理公司及为基金提供交易和保管服务的各方进行妥善的尽职审查。尽职审查工作应包括（但不限于）审查基金的组成文件及尽职审查问卷，以及向基金管理公司作出查询，以深入掌握以下事项。</w:t>
      </w:r>
    </w:p>
    <w:p w:rsidR="00124816" w:rsidRDefault="00055FE4">
      <w:pPr>
        <w:pStyle w:val="BodyText"/>
        <w:rPr>
          <w:lang w:eastAsia="zh-CN"/>
        </w:rPr>
      </w:pPr>
      <w:r>
        <w:rPr>
          <w:u w:val="single"/>
          <w:lang w:eastAsia="zh-CN"/>
        </w:rPr>
        <w:t>所需的中介人对基金管理公司的尽职审查</w:t>
      </w:r>
    </w:p>
    <w:p w:rsidR="00124816" w:rsidRDefault="00055FE4">
      <w:pPr>
        <w:pStyle w:val="BodyText"/>
        <w:rPr>
          <w:lang w:eastAsia="zh-CN"/>
        </w:rPr>
      </w:pPr>
      <w:r>
        <w:rPr>
          <w:lang w:eastAsia="zh-CN"/>
        </w:rPr>
        <w:t>中介人首先须对基金管理公司进行一般尽职审查，包括：</w:t>
      </w:r>
    </w:p>
    <w:p w:rsidR="00124816" w:rsidRDefault="00055FE4">
      <w:pPr>
        <w:pStyle w:val="Compact"/>
        <w:numPr>
          <w:ilvl w:val="0"/>
          <w:numId w:val="6"/>
        </w:numPr>
        <w:rPr>
          <w:lang w:eastAsia="zh-CN"/>
        </w:rPr>
      </w:pPr>
      <w:r>
        <w:rPr>
          <w:lang w:eastAsia="zh-CN"/>
        </w:rPr>
        <w:t>其背景、相关经验，以及（如适用）包括其主要投资、营运、</w:t>
      </w:r>
      <w:r>
        <w:rPr>
          <w:lang w:eastAsia="zh-CN"/>
        </w:rPr>
        <w:t>风险与科技部门的总监在内的高级管理人员的往绩纪录；</w:t>
      </w:r>
    </w:p>
    <w:p w:rsidR="00124816" w:rsidRDefault="00055FE4">
      <w:pPr>
        <w:pStyle w:val="Compact"/>
        <w:numPr>
          <w:ilvl w:val="0"/>
          <w:numId w:val="6"/>
        </w:numPr>
        <w:rPr>
          <w:lang w:eastAsia="zh-CN"/>
        </w:rPr>
      </w:pPr>
      <w:r>
        <w:rPr>
          <w:lang w:eastAsia="zh-CN"/>
        </w:rPr>
        <w:t>其监管状况，例如该基金管理公司是否受到任何监管监察及监察的严谨度；及</w:t>
      </w:r>
    </w:p>
    <w:p w:rsidR="00124816" w:rsidRDefault="00055FE4">
      <w:pPr>
        <w:pStyle w:val="Compact"/>
        <w:numPr>
          <w:ilvl w:val="0"/>
          <w:numId w:val="6"/>
        </w:numPr>
        <w:rPr>
          <w:lang w:eastAsia="zh-CN"/>
        </w:rPr>
      </w:pPr>
      <w:r>
        <w:rPr>
          <w:lang w:eastAsia="zh-CN"/>
        </w:rPr>
        <w:t>其合规历史，例如是否曾有任何监管当局对其采取任何纪律处分或监管行动。</w:t>
      </w:r>
    </w:p>
    <w:p w:rsidR="00124816" w:rsidRDefault="00055FE4">
      <w:pPr>
        <w:pStyle w:val="FirstParagraph"/>
        <w:rPr>
          <w:lang w:eastAsia="zh-CN"/>
        </w:rPr>
      </w:pPr>
      <w:r>
        <w:rPr>
          <w:lang w:eastAsia="zh-CN"/>
        </w:rPr>
        <w:t>对基金管理公司的内部监控措施与系统也应进行尽职审查，包括的事项如：</w:t>
      </w:r>
    </w:p>
    <w:p w:rsidR="00124816" w:rsidRDefault="00055FE4">
      <w:pPr>
        <w:pStyle w:val="Compact"/>
        <w:numPr>
          <w:ilvl w:val="0"/>
          <w:numId w:val="7"/>
        </w:numPr>
        <w:rPr>
          <w:lang w:eastAsia="zh-CN"/>
        </w:rPr>
      </w:pPr>
      <w:r>
        <w:rPr>
          <w:lang w:eastAsia="zh-CN"/>
        </w:rPr>
        <w:t>主要职能（例如投资组合管理、风险管理、资产估值和保管）有否妥善地加以分隔；如没有，是否有任何充足的补救监控措施防止违规情况出现；</w:t>
      </w:r>
    </w:p>
    <w:p w:rsidR="00124816" w:rsidRDefault="00055FE4">
      <w:pPr>
        <w:pStyle w:val="Compact"/>
        <w:numPr>
          <w:ilvl w:val="0"/>
          <w:numId w:val="7"/>
        </w:numPr>
        <w:rPr>
          <w:lang w:eastAsia="zh-CN"/>
        </w:rPr>
      </w:pPr>
      <w:r>
        <w:rPr>
          <w:lang w:eastAsia="zh-CN"/>
        </w:rPr>
        <w:t>可从基金或保管人转移资产的人，以及制定了哪些保障措施；</w:t>
      </w:r>
    </w:p>
    <w:p w:rsidR="00124816" w:rsidRDefault="00055FE4">
      <w:pPr>
        <w:pStyle w:val="Compact"/>
        <w:numPr>
          <w:ilvl w:val="0"/>
          <w:numId w:val="7"/>
        </w:numPr>
        <w:rPr>
          <w:lang w:eastAsia="zh-CN"/>
        </w:rPr>
      </w:pPr>
      <w:r>
        <w:rPr>
          <w:lang w:eastAsia="zh-CN"/>
        </w:rPr>
        <w:lastRenderedPageBreak/>
        <w:t>负责就交易及持仓进行对帐的人士及有关程序，包括进行对帐工作的频密程</w:t>
      </w:r>
      <w:r>
        <w:rPr>
          <w:lang w:eastAsia="zh-CN"/>
        </w:rPr>
        <w:t>度；</w:t>
      </w:r>
    </w:p>
    <w:p w:rsidR="00124816" w:rsidRDefault="00055FE4">
      <w:pPr>
        <w:pStyle w:val="Compact"/>
        <w:numPr>
          <w:ilvl w:val="0"/>
          <w:numId w:val="7"/>
        </w:numPr>
        <w:rPr>
          <w:lang w:eastAsia="zh-CN"/>
        </w:rPr>
      </w:pPr>
      <w:r>
        <w:rPr>
          <w:lang w:eastAsia="zh-CN"/>
        </w:rPr>
        <w:t>就各项虚拟资产厘定价格和评估已厘定的价格是否合理的方法和负责人员；及</w:t>
      </w:r>
    </w:p>
    <w:p w:rsidR="00124816" w:rsidRDefault="00055FE4">
      <w:pPr>
        <w:pStyle w:val="Compact"/>
        <w:numPr>
          <w:ilvl w:val="0"/>
          <w:numId w:val="7"/>
        </w:numPr>
        <w:rPr>
          <w:lang w:eastAsia="zh-CN"/>
        </w:rPr>
      </w:pPr>
      <w:r>
        <w:rPr>
          <w:lang w:eastAsia="zh-CN"/>
        </w:rPr>
        <w:t>基金管理公司为减低洗钱及恐怖分子资金筹集风险而采取的措施，特别是针对基金投资者以虚拟资产所作的认购而言（如适用）。</w:t>
      </w:r>
    </w:p>
    <w:p w:rsidR="00124816" w:rsidRDefault="00055FE4">
      <w:pPr>
        <w:pStyle w:val="FirstParagraph"/>
        <w:rPr>
          <w:lang w:eastAsia="zh-CN"/>
        </w:rPr>
      </w:pPr>
      <w:r>
        <w:rPr>
          <w:lang w:eastAsia="zh-CN"/>
        </w:rPr>
        <w:t>中介人亦应对基金管理公司的信息科技系统（例如保安及存取权的管理）及其风险管理程序（包括集中限额、对手方风险管理程序、止蚀安排及压力测试）进行尽职审查。基金管理公司流动性风险管理政策及就其他与虚拟资产基金管理有关的风险（例如黑客攻击或其他科技相关风险）而采取的风险管理政策及其灾难复原计划亦应涵盖在中介人对基金管理公司的尽</w:t>
      </w:r>
      <w:r>
        <w:rPr>
          <w:lang w:eastAsia="zh-CN"/>
        </w:rPr>
        <w:t>职审查中。</w:t>
      </w:r>
    </w:p>
    <w:p w:rsidR="00124816" w:rsidRDefault="00055FE4">
      <w:pPr>
        <w:pStyle w:val="BodyText"/>
        <w:rPr>
          <w:lang w:eastAsia="zh-CN"/>
        </w:rPr>
      </w:pPr>
      <w:r>
        <w:rPr>
          <w:u w:val="single"/>
          <w:lang w:eastAsia="zh-CN"/>
        </w:rPr>
        <w:t>所需的中介人对基金的尽职审查</w:t>
      </w:r>
    </w:p>
    <w:p w:rsidR="00124816" w:rsidRDefault="00055FE4">
      <w:pPr>
        <w:pStyle w:val="BodyText"/>
        <w:rPr>
          <w:lang w:eastAsia="zh-CN"/>
        </w:rPr>
      </w:pPr>
      <w:r>
        <w:rPr>
          <w:lang w:eastAsia="zh-CN"/>
        </w:rPr>
        <w:t>中介人对其拟分销的资金进行尽职审查时所需要涉及的事项包括：</w:t>
      </w:r>
    </w:p>
    <w:p w:rsidR="00124816" w:rsidRDefault="00055FE4" w:rsidP="009116B2">
      <w:pPr>
        <w:pStyle w:val="Compact"/>
        <w:numPr>
          <w:ilvl w:val="0"/>
          <w:numId w:val="8"/>
        </w:numPr>
        <w:jc w:val="left"/>
      </w:pPr>
      <w:r>
        <w:t>基金的目标投资者；</w:t>
      </w:r>
    </w:p>
    <w:p w:rsidR="00124816" w:rsidRDefault="00055FE4" w:rsidP="009116B2">
      <w:pPr>
        <w:pStyle w:val="Compact"/>
        <w:numPr>
          <w:ilvl w:val="0"/>
          <w:numId w:val="8"/>
        </w:numPr>
        <w:jc w:val="left"/>
        <w:rPr>
          <w:lang w:eastAsia="zh-CN"/>
        </w:rPr>
      </w:pPr>
      <w:r>
        <w:rPr>
          <w:lang w:eastAsia="zh-CN"/>
        </w:rPr>
        <w:t>基金拟买卖或投资的工具列表，以及对于基金持有的透过首次代币发行（</w:t>
      </w:r>
      <w:r>
        <w:rPr>
          <w:lang w:eastAsia="zh-CN"/>
        </w:rPr>
        <w:t>ICO</w:t>
      </w:r>
      <w:r>
        <w:rPr>
          <w:lang w:eastAsia="zh-CN"/>
        </w:rPr>
        <w:t>）而产生的虚拟资产（</w:t>
      </w:r>
      <w:r>
        <w:rPr>
          <w:b/>
          <w:lang w:eastAsia="zh-CN"/>
        </w:rPr>
        <w:t xml:space="preserve">ICO </w:t>
      </w:r>
      <w:r>
        <w:rPr>
          <w:b/>
          <w:lang w:eastAsia="zh-CN"/>
        </w:rPr>
        <w:t>代币</w:t>
      </w:r>
      <w:r>
        <w:rPr>
          <w:lang w:eastAsia="zh-CN"/>
        </w:rPr>
        <w:t>）、</w:t>
      </w:r>
      <w:r>
        <w:rPr>
          <w:lang w:eastAsia="zh-CN"/>
        </w:rPr>
        <w:t xml:space="preserve">ICO </w:t>
      </w:r>
      <w:r>
        <w:rPr>
          <w:lang w:eastAsia="zh-CN"/>
        </w:rPr>
        <w:t>前发行的代币或其他非流动或难以估值的工具的规模的任何限制；</w:t>
      </w:r>
    </w:p>
    <w:p w:rsidR="00124816" w:rsidRDefault="00055FE4" w:rsidP="009116B2">
      <w:pPr>
        <w:pStyle w:val="Compact"/>
        <w:numPr>
          <w:ilvl w:val="0"/>
          <w:numId w:val="8"/>
        </w:numPr>
        <w:jc w:val="left"/>
        <w:rPr>
          <w:lang w:eastAsia="zh-CN"/>
        </w:rPr>
      </w:pPr>
      <w:r>
        <w:rPr>
          <w:lang w:eastAsia="zh-CN"/>
        </w:rPr>
        <w:t>基金的估值政策（尤其是就</w:t>
      </w:r>
      <w:r>
        <w:rPr>
          <w:lang w:eastAsia="zh-CN"/>
        </w:rPr>
        <w:t xml:space="preserve"> ICO</w:t>
      </w:r>
      <w:r>
        <w:rPr>
          <w:lang w:eastAsia="zh-CN"/>
        </w:rPr>
        <w:t>代币、</w:t>
      </w:r>
      <w:r>
        <w:rPr>
          <w:lang w:eastAsia="zh-CN"/>
        </w:rPr>
        <w:t xml:space="preserve">ICO </w:t>
      </w:r>
      <w:r>
        <w:rPr>
          <w:lang w:eastAsia="zh-CN"/>
        </w:rPr>
        <w:t>前发行的代币或其他非流动或难以估值的工具而言）；</w:t>
      </w:r>
    </w:p>
    <w:p w:rsidR="00124816" w:rsidRDefault="00055FE4" w:rsidP="009116B2">
      <w:pPr>
        <w:pStyle w:val="Compact"/>
        <w:numPr>
          <w:ilvl w:val="0"/>
          <w:numId w:val="8"/>
        </w:numPr>
        <w:jc w:val="left"/>
        <w:rPr>
          <w:lang w:eastAsia="zh-CN"/>
        </w:rPr>
      </w:pPr>
      <w:r>
        <w:rPr>
          <w:lang w:eastAsia="zh-CN"/>
        </w:rPr>
        <w:t>基金资产的保管安排，包括有关将资产分配于不同储存地点保存（例如交易所、保管人、在线储存及线下储存）的政策；</w:t>
      </w:r>
    </w:p>
    <w:p w:rsidR="00124816" w:rsidRDefault="00055FE4" w:rsidP="009116B2">
      <w:pPr>
        <w:pStyle w:val="Compact"/>
        <w:numPr>
          <w:ilvl w:val="0"/>
          <w:numId w:val="8"/>
        </w:numPr>
        <w:jc w:val="left"/>
        <w:rPr>
          <w:lang w:eastAsia="zh-CN"/>
        </w:rPr>
      </w:pPr>
      <w:r>
        <w:rPr>
          <w:lang w:eastAsia="zh-CN"/>
        </w:rPr>
        <w:t>基金使用杠杆及衍生工具的情况；</w:t>
      </w:r>
    </w:p>
    <w:p w:rsidR="00124816" w:rsidRDefault="00055FE4" w:rsidP="009116B2">
      <w:pPr>
        <w:pStyle w:val="Compact"/>
        <w:numPr>
          <w:ilvl w:val="0"/>
          <w:numId w:val="8"/>
        </w:numPr>
        <w:jc w:val="left"/>
        <w:rPr>
          <w:lang w:eastAsia="zh-CN"/>
        </w:rPr>
      </w:pPr>
      <w:r>
        <w:rPr>
          <w:lang w:eastAsia="zh-CN"/>
        </w:rPr>
        <w:t>基金的预计风险及年度回报；</w:t>
      </w:r>
    </w:p>
    <w:p w:rsidR="00124816" w:rsidRDefault="00055FE4" w:rsidP="009116B2">
      <w:pPr>
        <w:pStyle w:val="Compact"/>
        <w:numPr>
          <w:ilvl w:val="0"/>
          <w:numId w:val="8"/>
        </w:numPr>
        <w:jc w:val="left"/>
        <w:rPr>
          <w:lang w:eastAsia="zh-CN"/>
        </w:rPr>
      </w:pPr>
      <w:r>
        <w:rPr>
          <w:lang w:eastAsia="zh-CN"/>
        </w:rPr>
        <w:t>基金的主要风险（详情请参阅本通函附录</w:t>
      </w:r>
      <w:r>
        <w:rPr>
          <w:lang w:eastAsia="zh-CN"/>
        </w:rPr>
        <w:t>5</w:t>
      </w:r>
      <w:r>
        <w:rPr>
          <w:lang w:eastAsia="zh-CN"/>
        </w:rPr>
        <w:t>内</w:t>
      </w:r>
      <w:r>
        <w:rPr>
          <w:lang w:eastAsia="zh-CN"/>
        </w:rPr>
        <w:t>“</w:t>
      </w:r>
      <w:r>
        <w:rPr>
          <w:lang w:eastAsia="zh-CN"/>
        </w:rPr>
        <w:t>须提供予客户的资料</w:t>
      </w:r>
      <w:r>
        <w:rPr>
          <w:lang w:eastAsia="zh-CN"/>
        </w:rPr>
        <w:t>”</w:t>
      </w:r>
      <w:r>
        <w:rPr>
          <w:lang w:eastAsia="zh-CN"/>
        </w:rPr>
        <w:t>一节）；</w:t>
      </w:r>
    </w:p>
    <w:p w:rsidR="00124816" w:rsidRDefault="00055FE4" w:rsidP="009116B2">
      <w:pPr>
        <w:pStyle w:val="Compact"/>
        <w:numPr>
          <w:ilvl w:val="0"/>
          <w:numId w:val="8"/>
        </w:numPr>
        <w:jc w:val="left"/>
        <w:rPr>
          <w:lang w:eastAsia="zh-CN"/>
        </w:rPr>
      </w:pPr>
      <w:r>
        <w:rPr>
          <w:lang w:eastAsia="zh-CN"/>
        </w:rPr>
        <w:t>基金的核数师及经审核财务报表，包括基金过往是否曾收到保留审计意见，以及经审核报表是否最新的；及</w:t>
      </w:r>
    </w:p>
    <w:p w:rsidR="00124816" w:rsidRDefault="00055FE4" w:rsidP="009116B2">
      <w:pPr>
        <w:pStyle w:val="Compact"/>
        <w:numPr>
          <w:ilvl w:val="0"/>
          <w:numId w:val="8"/>
        </w:numPr>
        <w:jc w:val="left"/>
        <w:rPr>
          <w:lang w:eastAsia="zh-CN"/>
        </w:rPr>
      </w:pPr>
      <w:r>
        <w:rPr>
          <w:lang w:eastAsia="zh-CN"/>
        </w:rPr>
        <w:t>基金在哪些交易所进行买卖。</w:t>
      </w:r>
    </w:p>
    <w:p w:rsidR="00124816" w:rsidRDefault="00055FE4">
      <w:pPr>
        <w:pStyle w:val="FirstParagraph"/>
        <w:rPr>
          <w:lang w:eastAsia="zh-CN"/>
        </w:rPr>
      </w:pPr>
      <w:r>
        <w:rPr>
          <w:u w:val="single"/>
          <w:lang w:eastAsia="zh-CN"/>
        </w:rPr>
        <w:t>所需的中介人对基金对手方的尽职审查</w:t>
      </w:r>
    </w:p>
    <w:p w:rsidR="00124816" w:rsidRDefault="00055FE4">
      <w:pPr>
        <w:pStyle w:val="BodyText"/>
        <w:rPr>
          <w:lang w:eastAsia="zh-CN"/>
        </w:rPr>
      </w:pPr>
      <w:r>
        <w:rPr>
          <w:lang w:eastAsia="zh-CN"/>
        </w:rPr>
        <w:t>分销虚拟资产资金的中介人对基金对手方进行尽职审查时所需要涉及的事项包括：</w:t>
      </w:r>
    </w:p>
    <w:p w:rsidR="00124816" w:rsidRDefault="00055FE4">
      <w:pPr>
        <w:pStyle w:val="Compact"/>
        <w:numPr>
          <w:ilvl w:val="0"/>
          <w:numId w:val="9"/>
        </w:numPr>
        <w:rPr>
          <w:lang w:eastAsia="zh-CN"/>
        </w:rPr>
      </w:pPr>
      <w:r>
        <w:rPr>
          <w:lang w:eastAsia="zh-CN"/>
        </w:rPr>
        <w:t>它们的法定及监管状况（即它们在（其中包括）进行保管业务或买卖虚拟资产方面是否受到任何监管当局规管）；</w:t>
      </w:r>
    </w:p>
    <w:p w:rsidR="00124816" w:rsidRDefault="00055FE4">
      <w:pPr>
        <w:pStyle w:val="Compact"/>
        <w:numPr>
          <w:ilvl w:val="0"/>
          <w:numId w:val="9"/>
        </w:numPr>
        <w:rPr>
          <w:lang w:eastAsia="zh-CN"/>
        </w:rPr>
      </w:pPr>
      <w:r>
        <w:rPr>
          <w:lang w:eastAsia="zh-CN"/>
        </w:rPr>
        <w:t>它们在买卖虚拟资产方面的经验与往绩纪录；</w:t>
      </w:r>
    </w:p>
    <w:p w:rsidR="00124816" w:rsidRDefault="00055FE4">
      <w:pPr>
        <w:pStyle w:val="Compact"/>
        <w:numPr>
          <w:ilvl w:val="0"/>
          <w:numId w:val="9"/>
        </w:numPr>
        <w:rPr>
          <w:lang w:eastAsia="zh-CN"/>
        </w:rPr>
      </w:pPr>
      <w:r>
        <w:rPr>
          <w:lang w:eastAsia="zh-CN"/>
        </w:rPr>
        <w:t>它</w:t>
      </w:r>
      <w:r>
        <w:rPr>
          <w:lang w:eastAsia="zh-CN"/>
        </w:rPr>
        <w:t>们的信息科技系统（包括网络保安风险管理措施）与应变计划的稳健程度；及</w:t>
      </w:r>
    </w:p>
    <w:p w:rsidR="00124816" w:rsidRDefault="00055FE4">
      <w:pPr>
        <w:pStyle w:val="Compact"/>
        <w:numPr>
          <w:ilvl w:val="0"/>
          <w:numId w:val="9"/>
        </w:numPr>
        <w:rPr>
          <w:lang w:eastAsia="zh-CN"/>
        </w:rPr>
      </w:pPr>
      <w:r>
        <w:rPr>
          <w:lang w:eastAsia="zh-CN"/>
        </w:rPr>
        <w:t>它们的财政稳健性及保险保障范围，以赔偿客户资产损失等。</w:t>
      </w:r>
    </w:p>
    <w:p w:rsidR="00124816" w:rsidRDefault="00055FE4">
      <w:pPr>
        <w:pStyle w:val="FirstParagraph"/>
        <w:rPr>
          <w:lang w:eastAsia="zh-CN"/>
        </w:rPr>
      </w:pPr>
      <w:r>
        <w:rPr>
          <w:lang w:eastAsia="zh-CN"/>
        </w:rPr>
        <w:t>提供予客户的资料</w:t>
      </w:r>
    </w:p>
    <w:p w:rsidR="00124816" w:rsidRDefault="00055FE4">
      <w:pPr>
        <w:pStyle w:val="BodyText"/>
        <w:rPr>
          <w:lang w:eastAsia="zh-CN"/>
        </w:rPr>
      </w:pPr>
      <w:r>
        <w:rPr>
          <w:lang w:eastAsia="zh-CN"/>
        </w:rPr>
        <w:t>《操守准则》第</w:t>
      </w:r>
      <w:r>
        <w:rPr>
          <w:lang w:eastAsia="zh-CN"/>
        </w:rPr>
        <w:t>5.3</w:t>
      </w:r>
      <w:r>
        <w:rPr>
          <w:lang w:eastAsia="zh-CN"/>
        </w:rPr>
        <w:t>段要求中介人就衍生产品向客户提供服务时，应确保其客户已明白该产品的性质和风险，并有足够的净资产来承担因买卖该产品而可能招致的风险和损失。举例来说，当中介人就在指明交易所买卖的虚拟资产期货合约提供交易服务时，应确保客户明白杠杆式交易会增加其因相关虚拟资产的波动性而面对的风险承担，原因是市场相对轻微的波动也会对客户存入的保证金造成大比例的影响，且客户</w:t>
      </w:r>
      <w:r>
        <w:rPr>
          <w:lang w:eastAsia="zh-CN"/>
        </w:rPr>
        <w:t>所损失的金额可能超出最初存入的保证金。中介人亦应特别就虚拟资产期货合约给予客户警告声明。有关该警告声明内容的例子载于本通函附录</w:t>
      </w:r>
      <w:r>
        <w:rPr>
          <w:lang w:eastAsia="zh-CN"/>
        </w:rPr>
        <w:t>5</w:t>
      </w:r>
      <w:r>
        <w:rPr>
          <w:lang w:eastAsia="zh-CN"/>
        </w:rPr>
        <w:t>。</w:t>
      </w:r>
    </w:p>
    <w:p w:rsidR="00124816" w:rsidRDefault="00055FE4">
      <w:pPr>
        <w:pStyle w:val="BodyText"/>
        <w:rPr>
          <w:lang w:eastAsia="zh-CN"/>
        </w:rPr>
      </w:pPr>
      <w:r>
        <w:rPr>
          <w:lang w:eastAsia="zh-CN"/>
        </w:rPr>
        <w:t>中介人向客户提供财务通融以投资虚拟资产相关产品时，应采取谨慎态度。若中介人向客户提供财务通融，应确保客户有足够财政能力履行由其以杠杆方式或保证金买卖虚拟资产相关产品所引致的责任（包括于最坏的情况下亦然）。</w:t>
      </w:r>
    </w:p>
    <w:p w:rsidR="00124816" w:rsidRDefault="00055FE4">
      <w:pPr>
        <w:pStyle w:val="BodyText"/>
        <w:rPr>
          <w:lang w:eastAsia="zh-CN"/>
        </w:rPr>
      </w:pPr>
      <w:r>
        <w:rPr>
          <w:lang w:eastAsia="zh-CN"/>
        </w:rPr>
        <w:lastRenderedPageBreak/>
        <w:t>分销虚拟资产相关产品的中介人应以清晰及易于理解的方式向客户提供有关虚拟资产相关产品和其所投资的虚拟资产的资料。</w:t>
      </w:r>
    </w:p>
    <w:p w:rsidR="00124816" w:rsidRDefault="00055FE4">
      <w:pPr>
        <w:pStyle w:val="BodyText"/>
        <w:rPr>
          <w:lang w:eastAsia="zh-CN"/>
        </w:rPr>
      </w:pPr>
      <w:r>
        <w:rPr>
          <w:lang w:eastAsia="zh-CN"/>
        </w:rPr>
        <w:t>中介人亦应特别就虚拟资产给予客户警告声明（可以一次性披露的方式</w:t>
      </w:r>
      <w:r>
        <w:rPr>
          <w:lang w:eastAsia="zh-CN"/>
        </w:rPr>
        <w:t>）。有关该警告声明内容的例子载于本联合通函附录</w:t>
      </w:r>
      <w:r>
        <w:rPr>
          <w:lang w:eastAsia="zh-CN"/>
        </w:rPr>
        <w:t>5</w:t>
      </w:r>
      <w:r>
        <w:rPr>
          <w:lang w:eastAsia="zh-CN"/>
        </w:rPr>
        <w:t>。</w:t>
      </w:r>
    </w:p>
    <w:p w:rsidR="00124816" w:rsidRDefault="00055FE4">
      <w:pPr>
        <w:pStyle w:val="BodyText"/>
        <w:rPr>
          <w:lang w:eastAsia="zh-CN"/>
        </w:rPr>
      </w:pPr>
      <w:r>
        <w:rPr>
          <w:lang w:eastAsia="zh-CN"/>
        </w:rPr>
        <w:t>虚拟资产交易</w:t>
      </w:r>
    </w:p>
    <w:p w:rsidR="00124816" w:rsidRDefault="00055FE4">
      <w:pPr>
        <w:pStyle w:val="BodyText"/>
        <w:rPr>
          <w:lang w:eastAsia="zh-CN"/>
        </w:rPr>
      </w:pPr>
      <w:r>
        <w:rPr>
          <w:lang w:eastAsia="zh-CN"/>
        </w:rPr>
        <w:t>本港及海外的虚拟资产交易平台大多不受监管，或仅为打击洗钱及恐怖分子资金筹集的目的而受到监管。根据证监会</w:t>
      </w:r>
      <w:r>
        <w:rPr>
          <w:lang w:eastAsia="zh-CN"/>
        </w:rPr>
        <w:t>2019</w:t>
      </w:r>
      <w:r>
        <w:rPr>
          <w:lang w:eastAsia="zh-CN"/>
        </w:rPr>
        <w:t>年</w:t>
      </w:r>
      <w:r>
        <w:rPr>
          <w:lang w:eastAsia="zh-CN"/>
        </w:rPr>
        <w:t>11</w:t>
      </w:r>
      <w:r>
        <w:rPr>
          <w:lang w:eastAsia="zh-CN"/>
        </w:rPr>
        <w:t>月发布的</w:t>
      </w:r>
      <w:hyperlink r:id="rId20">
        <w:r>
          <w:rPr>
            <w:lang w:eastAsia="zh-CN"/>
          </w:rPr>
          <w:t>监管虚拟资产交易平台的立场书</w:t>
        </w:r>
      </w:hyperlink>
      <w:hyperlink w:anchor="footnote-598-13">
        <w:r>
          <w:rPr>
            <w:vertAlign w:val="superscript"/>
            <w:lang w:eastAsia="zh-CN"/>
          </w:rPr>
          <w:t>13</w:t>
        </w:r>
      </w:hyperlink>
      <w:r>
        <w:rPr>
          <w:lang w:eastAsia="zh-CN"/>
        </w:rPr>
        <w:t>，证监会及金管局关注到，有关平台受到的监管标准可能会低于证监会发牌的虚拟资产交易平台的监管标准。举例来说，有关平台并不受到线上及线下钱包储存、保险及私人密匙管理的规定所规限。一旦遭受黑客入侵或出现欺诈，投资者有可能蒙受重大损失。投资者在向位处海外的平台追回他们的资产或向该等平台提出申索时，亦可能会遇到实际困难。</w:t>
      </w:r>
    </w:p>
    <w:p w:rsidR="00124816" w:rsidRDefault="00055FE4">
      <w:pPr>
        <w:pStyle w:val="BodyText"/>
        <w:rPr>
          <w:lang w:eastAsia="zh-CN"/>
        </w:rPr>
      </w:pPr>
      <w:r>
        <w:rPr>
          <w:lang w:eastAsia="zh-CN"/>
        </w:rPr>
        <w:t>为确保充分的投资者保障，中介人如要提供虚拟资产交易服务，便只可与获证监会发牌</w:t>
      </w:r>
      <w:hyperlink w:anchor="footnote-598-14">
        <w:r>
          <w:rPr>
            <w:vertAlign w:val="superscript"/>
            <w:lang w:eastAsia="zh-CN"/>
          </w:rPr>
          <w:t>14</w:t>
        </w:r>
      </w:hyperlink>
      <w:r>
        <w:rPr>
          <w:lang w:eastAsia="zh-CN"/>
        </w:rPr>
        <w:t>的虚拟资产交易平台合作，不论</w:t>
      </w:r>
      <w:r>
        <w:rPr>
          <w:lang w:eastAsia="zh-CN"/>
        </w:rPr>
        <w:t>:</w:t>
      </w:r>
    </w:p>
    <w:p w:rsidR="00124816" w:rsidRDefault="00055FE4">
      <w:pPr>
        <w:pStyle w:val="Compact"/>
        <w:numPr>
          <w:ilvl w:val="0"/>
          <w:numId w:val="10"/>
        </w:numPr>
        <w:rPr>
          <w:lang w:eastAsia="zh-CN"/>
        </w:rPr>
      </w:pPr>
      <w:r>
        <w:rPr>
          <w:lang w:eastAsia="zh-CN"/>
        </w:rPr>
        <w:t>是透过介绍客户到有关平台进行直接交易；或</w:t>
      </w:r>
    </w:p>
    <w:p w:rsidR="00124816" w:rsidRDefault="00055FE4">
      <w:pPr>
        <w:pStyle w:val="Compact"/>
        <w:numPr>
          <w:ilvl w:val="0"/>
          <w:numId w:val="10"/>
        </w:numPr>
        <w:rPr>
          <w:lang w:eastAsia="zh-CN"/>
        </w:rPr>
      </w:pPr>
      <w:r>
        <w:rPr>
          <w:lang w:eastAsia="zh-CN"/>
        </w:rPr>
        <w:t>与有关平台开设综合帐户。</w:t>
      </w:r>
    </w:p>
    <w:p w:rsidR="00124816" w:rsidRDefault="00055FE4">
      <w:pPr>
        <w:pStyle w:val="FirstParagraph"/>
        <w:rPr>
          <w:lang w:eastAsia="zh-CN"/>
        </w:rPr>
      </w:pPr>
      <w:r>
        <w:rPr>
          <w:lang w:eastAsia="zh-CN"/>
        </w:rPr>
        <w:t>仅允许就第</w:t>
      </w:r>
      <w:r>
        <w:rPr>
          <w:lang w:eastAsia="zh-CN"/>
        </w:rPr>
        <w:t>1</w:t>
      </w:r>
      <w:r>
        <w:rPr>
          <w:lang w:eastAsia="zh-CN"/>
        </w:rPr>
        <w:t>类（证券交易）受规管活动持牌或注册的中介人提供虚拟资产交易服务。这些中介人在提供虚拟资产交易服务时，须遵从所有适用的监管规定，无论相关的虚拟资产是否构成证券。此外，这些服务只能提供给中介人以第</w:t>
      </w:r>
      <w:r>
        <w:rPr>
          <w:lang w:eastAsia="zh-CN"/>
        </w:rPr>
        <w:t xml:space="preserve">1 </w:t>
      </w:r>
      <w:r>
        <w:rPr>
          <w:lang w:eastAsia="zh-CN"/>
        </w:rPr>
        <w:t>类受规管活动提供服务的现有客户。</w:t>
      </w:r>
    </w:p>
    <w:p w:rsidR="00124816" w:rsidRDefault="00055FE4">
      <w:pPr>
        <w:pStyle w:val="BodyText"/>
        <w:rPr>
          <w:lang w:eastAsia="zh-CN"/>
        </w:rPr>
      </w:pPr>
      <w:r>
        <w:rPr>
          <w:lang w:eastAsia="zh-CN"/>
        </w:rPr>
        <w:t>在综合账户的安排下提供虚拟资产交易服务</w:t>
      </w:r>
      <w:r>
        <w:rPr>
          <w:lang w:eastAsia="zh-CN"/>
        </w:rPr>
        <w:t>-</w:t>
      </w:r>
      <w:r>
        <w:rPr>
          <w:lang w:eastAsia="zh-CN"/>
        </w:rPr>
        <w:t>条款和条件</w:t>
      </w:r>
    </w:p>
    <w:p w:rsidR="00124816" w:rsidRDefault="00055FE4">
      <w:pPr>
        <w:pStyle w:val="BodyText"/>
        <w:rPr>
          <w:lang w:eastAsia="zh-CN"/>
        </w:rPr>
      </w:pPr>
      <w:r>
        <w:rPr>
          <w:lang w:eastAsia="zh-CN"/>
        </w:rPr>
        <w:t>证监会将中介人在透过综合帐户安排提供虚拟资产交易服务时应符合的操守规定，施加作为发牌或注册条件。该等条款和条件载列于本通函附录</w:t>
      </w:r>
      <w:r>
        <w:rPr>
          <w:lang w:eastAsia="zh-CN"/>
        </w:rPr>
        <w:t>6</w:t>
      </w:r>
      <w:r>
        <w:rPr>
          <w:lang w:eastAsia="zh-CN"/>
        </w:rPr>
        <w:t>，只要是与履行由中介人执行的交易职能有关的，一概与证监会</w:t>
      </w:r>
      <w:hyperlink r:id="rId21">
        <w:r>
          <w:rPr>
            <w:lang w:eastAsia="zh-CN"/>
          </w:rPr>
          <w:t>2019</w:t>
        </w:r>
        <w:r>
          <w:rPr>
            <w:lang w:eastAsia="zh-CN"/>
          </w:rPr>
          <w:t>年</w:t>
        </w:r>
        <w:r>
          <w:rPr>
            <w:lang w:eastAsia="zh-CN"/>
          </w:rPr>
          <w:t>11</w:t>
        </w:r>
        <w:r>
          <w:rPr>
            <w:lang w:eastAsia="zh-CN"/>
          </w:rPr>
          <w:t>月的立场书</w:t>
        </w:r>
      </w:hyperlink>
      <w:hyperlink w:anchor="footnote-598-15">
        <w:r>
          <w:rPr>
            <w:vertAlign w:val="superscript"/>
            <w:lang w:eastAsia="zh-CN"/>
          </w:rPr>
          <w:t>15</w:t>
        </w:r>
      </w:hyperlink>
      <w:r>
        <w:rPr>
          <w:lang w:eastAsia="zh-CN"/>
        </w:rPr>
        <w:t>的虚拟资产交易平台下的规定一致。其中一项发牌或注册条件将要求中介人遵从订明的条款及条件（</w:t>
      </w:r>
      <w:r>
        <w:rPr>
          <w:b/>
          <w:lang w:eastAsia="zh-CN"/>
        </w:rPr>
        <w:t>条款及条件</w:t>
      </w:r>
      <w:r>
        <w:rPr>
          <w:lang w:eastAsia="zh-CN"/>
        </w:rPr>
        <w:t>）。例如，中介人应只会在客户于其帐户有足够的法定货币或虚拟资产支付交易时，才为该客户执行交易及不应为客户获得虚拟资产提供财务通融。</w:t>
      </w:r>
    </w:p>
    <w:p w:rsidR="00124816" w:rsidRDefault="00055FE4">
      <w:pPr>
        <w:pStyle w:val="BodyText"/>
        <w:rPr>
          <w:lang w:eastAsia="zh-CN"/>
        </w:rPr>
      </w:pPr>
      <w:r>
        <w:rPr>
          <w:b/>
          <w:i/>
          <w:lang w:eastAsia="zh-CN"/>
        </w:rPr>
        <w:t>不应提供虚拟资产的提存及提取服务</w:t>
      </w:r>
    </w:p>
    <w:p w:rsidR="00124816" w:rsidRDefault="00055FE4">
      <w:pPr>
        <w:pStyle w:val="BodyText"/>
        <w:rPr>
          <w:lang w:eastAsia="zh-CN"/>
        </w:rPr>
      </w:pPr>
      <w:r>
        <w:rPr>
          <w:lang w:eastAsia="zh-CN"/>
        </w:rPr>
        <w:t>根据该等条款及条件，中介人应只允许客户向其帐户存入法定货币或从其帐户中提取法定货币，及在任何时候不应容许提取或转移客户虚拟资产，藉此尽量降低转移虚拟资产所涉及的风险。</w:t>
      </w:r>
    </w:p>
    <w:p w:rsidR="00124816" w:rsidRDefault="00055FE4">
      <w:pPr>
        <w:pStyle w:val="BodyText"/>
        <w:rPr>
          <w:lang w:eastAsia="zh-CN"/>
        </w:rPr>
      </w:pPr>
      <w:r>
        <w:rPr>
          <w:lang w:eastAsia="zh-CN"/>
        </w:rPr>
        <w:t>以介绍代理人的身分提供虚拟资产交易服务</w:t>
      </w:r>
      <w:r>
        <w:rPr>
          <w:lang w:eastAsia="zh-CN"/>
        </w:rPr>
        <w:t>-</w:t>
      </w:r>
      <w:r>
        <w:rPr>
          <w:lang w:eastAsia="zh-CN"/>
        </w:rPr>
        <w:t>条款及条件</w:t>
      </w:r>
    </w:p>
    <w:p w:rsidR="00124816" w:rsidRDefault="00055FE4">
      <w:pPr>
        <w:pStyle w:val="BodyText"/>
        <w:rPr>
          <w:lang w:eastAsia="zh-CN"/>
        </w:rPr>
      </w:pPr>
      <w:r>
        <w:rPr>
          <w:b/>
          <w:i/>
          <w:lang w:eastAsia="zh-CN"/>
        </w:rPr>
        <w:t>与证监会发牌平台订立的协议</w:t>
      </w:r>
    </w:p>
    <w:p w:rsidR="00124816" w:rsidRDefault="00055FE4">
      <w:pPr>
        <w:pStyle w:val="BodyText"/>
        <w:rPr>
          <w:lang w:eastAsia="zh-CN"/>
        </w:rPr>
      </w:pPr>
      <w:r>
        <w:rPr>
          <w:lang w:eastAsia="zh-CN"/>
        </w:rPr>
        <w:t>若第</w:t>
      </w:r>
      <w:r>
        <w:rPr>
          <w:lang w:eastAsia="zh-CN"/>
        </w:rPr>
        <w:t>1</w:t>
      </w:r>
      <w:r>
        <w:rPr>
          <w:lang w:eastAsia="zh-CN"/>
        </w:rPr>
        <w:t>类持牌中介人以介绍代理人的身分提供虚拟资产交易服务，中介人的客户将由证监会持牌平台来建立客户业务关系。在该平台上的交易帐户将以相关客户的名义开立，并透过该平台直接进行买卖。中介人应确保与证监会持牌平台订立一份书面协议，以订明中介人与该证监会持牌平台在介绍安排下彼此的责任。</w:t>
      </w:r>
    </w:p>
    <w:p w:rsidR="00124816" w:rsidRDefault="00055FE4">
      <w:pPr>
        <w:pStyle w:val="BodyText"/>
        <w:rPr>
          <w:lang w:eastAsia="zh-CN"/>
        </w:rPr>
      </w:pPr>
      <w:r>
        <w:rPr>
          <w:b/>
          <w:i/>
          <w:lang w:eastAsia="zh-CN"/>
        </w:rPr>
        <w:t>仅向专业投资者提供介绍服务</w:t>
      </w:r>
    </w:p>
    <w:p w:rsidR="00124816" w:rsidRDefault="00055FE4">
      <w:pPr>
        <w:pStyle w:val="BodyText"/>
        <w:rPr>
          <w:lang w:eastAsia="zh-CN"/>
        </w:rPr>
      </w:pPr>
      <w:r>
        <w:rPr>
          <w:lang w:eastAsia="zh-CN"/>
        </w:rPr>
        <w:t>若第</w:t>
      </w:r>
      <w:r>
        <w:rPr>
          <w:lang w:eastAsia="zh-CN"/>
        </w:rPr>
        <w:t>1</w:t>
      </w:r>
      <w:r>
        <w:rPr>
          <w:lang w:eastAsia="zh-CN"/>
        </w:rPr>
        <w:t>类持牌中介人以介绍代理人的身分提供虚拟资产交易服务，它们应只将属专业投资者的客户介绍至证监会持牌平台。中介人不应就介绍服务而代客户向平台转发任何交易指示或持有任何客户资</w:t>
      </w:r>
      <w:r>
        <w:rPr>
          <w:lang w:eastAsia="zh-CN"/>
        </w:rPr>
        <w:t>产（包括法定货币及客户虚拟资产）。这些规定将施加作为发牌或注册条件。</w:t>
      </w:r>
    </w:p>
    <w:p w:rsidR="00124816" w:rsidRDefault="00055FE4">
      <w:pPr>
        <w:pStyle w:val="BodyText"/>
        <w:rPr>
          <w:lang w:eastAsia="zh-CN"/>
        </w:rPr>
      </w:pPr>
      <w:r>
        <w:rPr>
          <w:b/>
          <w:i/>
          <w:lang w:eastAsia="zh-CN"/>
        </w:rPr>
        <w:t>虚拟资产委托帐户管理服务</w:t>
      </w:r>
    </w:p>
    <w:p w:rsidR="00124816" w:rsidRDefault="00055FE4">
      <w:pPr>
        <w:pStyle w:val="BodyText"/>
        <w:rPr>
          <w:lang w:eastAsia="zh-CN"/>
        </w:rPr>
      </w:pPr>
      <w:r>
        <w:rPr>
          <w:lang w:eastAsia="zh-CN"/>
        </w:rPr>
        <w:lastRenderedPageBreak/>
        <w:t>载列于</w:t>
      </w:r>
      <w:r>
        <w:rPr>
          <w:lang w:eastAsia="zh-CN"/>
        </w:rPr>
        <w:t>2019</w:t>
      </w:r>
      <w:r>
        <w:rPr>
          <w:lang w:eastAsia="zh-CN"/>
        </w:rPr>
        <w:t>年</w:t>
      </w:r>
      <w:r>
        <w:rPr>
          <w:lang w:eastAsia="zh-CN"/>
        </w:rPr>
        <w:t>10</w:t>
      </w:r>
      <w:r>
        <w:rPr>
          <w:lang w:eastAsia="zh-CN"/>
        </w:rPr>
        <w:t>月的</w:t>
      </w:r>
      <w:hyperlink r:id="rId22">
        <w:r>
          <w:rPr>
            <w:lang w:eastAsia="zh-CN"/>
          </w:rPr>
          <w:t>管理投资于虚拟资产的投资组合的持牌法团的标准条款及条件</w:t>
        </w:r>
      </w:hyperlink>
      <w:hyperlink w:anchor="footnote-598-16">
        <w:r>
          <w:rPr>
            <w:vertAlign w:val="superscript"/>
            <w:lang w:eastAsia="zh-CN"/>
          </w:rPr>
          <w:t>16</w:t>
        </w:r>
      </w:hyperlink>
      <w:r>
        <w:rPr>
          <w:lang w:eastAsia="zh-CN"/>
        </w:rPr>
        <w:t>（</w:t>
      </w:r>
      <w:r>
        <w:rPr>
          <w:b/>
          <w:lang w:eastAsia="zh-CN"/>
        </w:rPr>
        <w:t>标准条款及条件</w:t>
      </w:r>
      <w:r>
        <w:rPr>
          <w:lang w:eastAsia="zh-CN"/>
        </w:rPr>
        <w:t>）的额外规</w:t>
      </w:r>
      <w:r>
        <w:rPr>
          <w:lang w:eastAsia="zh-CN"/>
        </w:rPr>
        <w:t>定将适用于提供虚拟资产委托帐户管理服务的持牌法团：</w:t>
      </w:r>
    </w:p>
    <w:p w:rsidR="00124816" w:rsidRDefault="00055FE4">
      <w:pPr>
        <w:pStyle w:val="Compact"/>
        <w:numPr>
          <w:ilvl w:val="0"/>
          <w:numId w:val="11"/>
        </w:numPr>
        <w:rPr>
          <w:lang w:eastAsia="zh-CN"/>
        </w:rPr>
      </w:pPr>
      <w:r>
        <w:rPr>
          <w:lang w:eastAsia="zh-CN"/>
        </w:rPr>
        <w:t>有已述明的投资目标投资于虚拟资产；或</w:t>
      </w:r>
    </w:p>
    <w:p w:rsidR="00124816" w:rsidRDefault="00055FE4">
      <w:pPr>
        <w:pStyle w:val="Compact"/>
        <w:numPr>
          <w:ilvl w:val="0"/>
          <w:numId w:val="11"/>
        </w:numPr>
        <w:rPr>
          <w:lang w:eastAsia="zh-CN"/>
        </w:rPr>
      </w:pPr>
      <w:r>
        <w:rPr>
          <w:lang w:eastAsia="zh-CN"/>
        </w:rPr>
        <w:t>有意或已将其</w:t>
      </w:r>
      <w:r>
        <w:rPr>
          <w:lang w:eastAsia="zh-CN"/>
        </w:rPr>
        <w:t>10%</w:t>
      </w:r>
      <w:r>
        <w:rPr>
          <w:lang w:eastAsia="zh-CN"/>
        </w:rPr>
        <w:t>或以上的总资产价值直接或间接投资于虚拟资产。</w:t>
      </w:r>
    </w:p>
    <w:p w:rsidR="00124816" w:rsidRDefault="00055FE4">
      <w:pPr>
        <w:pStyle w:val="FirstParagraph"/>
        <w:rPr>
          <w:lang w:eastAsia="zh-CN"/>
        </w:rPr>
      </w:pPr>
      <w:r>
        <w:rPr>
          <w:lang w:eastAsia="zh-CN"/>
        </w:rPr>
        <w:t>有意提供虚拟资产委托账户管理服务的注册机构应通知证监会及金管局及须遵从标准条款及条件。</w:t>
      </w:r>
    </w:p>
    <w:p w:rsidR="00124816" w:rsidRDefault="00055FE4">
      <w:pPr>
        <w:pStyle w:val="BodyText"/>
        <w:rPr>
          <w:lang w:eastAsia="zh-CN"/>
        </w:rPr>
      </w:pPr>
      <w:r>
        <w:rPr>
          <w:lang w:eastAsia="zh-CN"/>
        </w:rPr>
        <w:t>若第</w:t>
      </w:r>
      <w:r>
        <w:rPr>
          <w:lang w:eastAsia="zh-CN"/>
        </w:rPr>
        <w:t>1</w:t>
      </w:r>
      <w:r>
        <w:rPr>
          <w:lang w:eastAsia="zh-CN"/>
        </w:rPr>
        <w:t>类持牌中介人获其客户授权以委托形式提供虚拟资产交易服务作为一项附属服务，该中介人应只将该客户的投资组合中少于</w:t>
      </w:r>
      <w:r>
        <w:rPr>
          <w:lang w:eastAsia="zh-CN"/>
        </w:rPr>
        <w:t>10%</w:t>
      </w:r>
      <w:r>
        <w:rPr>
          <w:lang w:eastAsia="zh-CN"/>
        </w:rPr>
        <w:t>的总资产价值投资于虚拟资产。</w:t>
      </w:r>
    </w:p>
    <w:p w:rsidR="00124816" w:rsidRDefault="00055FE4">
      <w:pPr>
        <w:pStyle w:val="BodyText"/>
        <w:rPr>
          <w:lang w:eastAsia="zh-CN"/>
        </w:rPr>
      </w:pPr>
      <w:r>
        <w:rPr>
          <w:lang w:eastAsia="zh-CN"/>
        </w:rPr>
        <w:t>就虚拟资产提供意见</w:t>
      </w:r>
    </w:p>
    <w:p w:rsidR="00124816" w:rsidRDefault="00055FE4">
      <w:pPr>
        <w:pStyle w:val="BodyText"/>
        <w:rPr>
          <w:lang w:eastAsia="zh-CN"/>
        </w:rPr>
      </w:pPr>
      <w:r>
        <w:rPr>
          <w:lang w:eastAsia="zh-CN"/>
        </w:rPr>
        <w:t>就虚拟资产提供意见的服务，构成了中介人提供意见的业务的一部分，因此可能会对中介人进行受规管活动的适当</w:t>
      </w:r>
      <w:r>
        <w:rPr>
          <w:lang w:eastAsia="zh-CN"/>
        </w:rPr>
        <w:t>人选资格造成影响。故此，中介人就虚拟资产提供意见时，不论有关虚拟资产是否为证券，中介人都应遵守证监会和金管局施加的所有相关监管规定。此外，中介人就虚拟资产提供意见的服务的对象应只限于获中介人提供第</w:t>
      </w:r>
      <w:r>
        <w:rPr>
          <w:lang w:eastAsia="zh-CN"/>
        </w:rPr>
        <w:t>1</w:t>
      </w:r>
      <w:r>
        <w:rPr>
          <w:lang w:eastAsia="zh-CN"/>
        </w:rPr>
        <w:t>类或第</w:t>
      </w:r>
      <w:r>
        <w:rPr>
          <w:lang w:eastAsia="zh-CN"/>
        </w:rPr>
        <w:t>4</w:t>
      </w:r>
      <w:r>
        <w:rPr>
          <w:lang w:eastAsia="zh-CN"/>
        </w:rPr>
        <w:t>类受规管活动的服务的现有客户。</w:t>
      </w:r>
    </w:p>
    <w:p w:rsidR="00124816" w:rsidRDefault="00055FE4">
      <w:pPr>
        <w:pStyle w:val="BodyText"/>
        <w:rPr>
          <w:lang w:eastAsia="zh-CN"/>
        </w:rPr>
      </w:pPr>
      <w:r>
        <w:rPr>
          <w:lang w:eastAsia="zh-CN"/>
        </w:rPr>
        <w:t>就虚拟资产提供意见的服务应达到的操守规定载于联合通函附录</w:t>
      </w:r>
      <w:r>
        <w:rPr>
          <w:lang w:eastAsia="zh-CN"/>
        </w:rPr>
        <w:t>6</w:t>
      </w:r>
      <w:r>
        <w:rPr>
          <w:lang w:eastAsia="zh-CN"/>
        </w:rPr>
        <w:t>。特别是中介人须遵守合理适当建议的责任。该等服务仅可提供予以专业投资者，在中介人提供虚拟资产相关服务前应进行虚拟资产知识评估。</w:t>
      </w:r>
    </w:p>
    <w:p w:rsidR="00124816" w:rsidRDefault="00055FE4">
      <w:pPr>
        <w:pStyle w:val="BodyText"/>
        <w:rPr>
          <w:lang w:eastAsia="zh-CN"/>
        </w:rPr>
      </w:pPr>
      <w:r>
        <w:rPr>
          <w:lang w:eastAsia="zh-CN"/>
        </w:rPr>
        <w:t>如果中介人在就虚拟资产相关产品提供意见时，其须同样遵守适用于虚拟资产相关产品分销的那些规</w:t>
      </w:r>
      <w:r>
        <w:rPr>
          <w:lang w:eastAsia="zh-CN"/>
        </w:rPr>
        <w:t>定（如上所述），并确保其建议针对特定客户是合适的。</w:t>
      </w:r>
    </w:p>
    <w:p w:rsidR="00124816" w:rsidRDefault="00055FE4">
      <w:pPr>
        <w:pStyle w:val="BodyText"/>
        <w:rPr>
          <w:lang w:eastAsia="zh-CN"/>
        </w:rPr>
      </w:pPr>
      <w:r>
        <w:rPr>
          <w:lang w:eastAsia="zh-CN"/>
        </w:rPr>
        <w:t>建议监管机制的实施</w:t>
      </w:r>
    </w:p>
    <w:p w:rsidR="00124816" w:rsidRDefault="00055FE4">
      <w:pPr>
        <w:pStyle w:val="BodyText"/>
        <w:rPr>
          <w:lang w:eastAsia="zh-CN"/>
        </w:rPr>
      </w:pPr>
      <w:r>
        <w:rPr>
          <w:lang w:eastAsia="zh-CN"/>
        </w:rPr>
        <w:t>6</w:t>
      </w:r>
      <w:r>
        <w:rPr>
          <w:lang w:eastAsia="zh-CN"/>
        </w:rPr>
        <w:t>个月的过渡期</w:t>
      </w:r>
    </w:p>
    <w:p w:rsidR="00124816" w:rsidRDefault="00055FE4">
      <w:pPr>
        <w:pStyle w:val="BodyText"/>
        <w:rPr>
          <w:lang w:eastAsia="zh-CN"/>
        </w:rPr>
      </w:pPr>
      <w:r>
        <w:rPr>
          <w:lang w:eastAsia="zh-CN"/>
        </w:rPr>
        <w:t>证监会及金管局允许已经从事虚拟资产相关活动的中介人有</w:t>
      </w:r>
      <w:r>
        <w:rPr>
          <w:lang w:eastAsia="zh-CN"/>
        </w:rPr>
        <w:t>6</w:t>
      </w:r>
      <w:r>
        <w:rPr>
          <w:lang w:eastAsia="zh-CN"/>
        </w:rPr>
        <w:t>个月的过渡期，使得他们可以修改各自的系统和监控措施，以符合最新规定。目前没有从事虚拟资产相关活动的中介人，他们在提供有关服务前，应确保自己能够符合最新规定。</w:t>
      </w:r>
    </w:p>
    <w:p w:rsidR="00124816" w:rsidRDefault="00055FE4">
      <w:pPr>
        <w:pStyle w:val="BodyText"/>
        <w:rPr>
          <w:lang w:eastAsia="zh-CN"/>
        </w:rPr>
      </w:pPr>
      <w:r>
        <w:rPr>
          <w:lang w:eastAsia="zh-CN"/>
        </w:rPr>
        <w:t>证监会及金管局通知规定</w:t>
      </w:r>
    </w:p>
    <w:p w:rsidR="00124816" w:rsidRDefault="00055FE4">
      <w:pPr>
        <w:pStyle w:val="BodyText"/>
        <w:rPr>
          <w:lang w:eastAsia="zh-CN"/>
        </w:rPr>
      </w:pPr>
      <w:r>
        <w:rPr>
          <w:lang w:eastAsia="zh-CN"/>
        </w:rPr>
        <w:t>中介人如有意从事虚拟资产相关活动（包括分销虚拟资产相关产品及提供虚拟资产交易服务），务必预先通知证监会及金管局。</w:t>
      </w:r>
    </w:p>
    <w:p w:rsidR="00124816" w:rsidRDefault="00055FE4">
      <w:pPr>
        <w:pStyle w:val="BodyText"/>
        <w:rPr>
          <w:lang w:eastAsia="zh-CN"/>
        </w:rPr>
      </w:pPr>
      <w:r>
        <w:rPr>
          <w:lang w:eastAsia="zh-CN"/>
        </w:rPr>
        <w:t>香港金管局就认可机构与虚拟资产及虚拟资产服务提供者业务关连的监管方法发布单</w:t>
      </w:r>
      <w:r>
        <w:rPr>
          <w:lang w:eastAsia="zh-CN"/>
        </w:rPr>
        <w:t>独通函</w:t>
      </w:r>
    </w:p>
    <w:p w:rsidR="00124816" w:rsidRDefault="00055FE4">
      <w:pPr>
        <w:pStyle w:val="BodyText"/>
        <w:rPr>
          <w:lang w:eastAsia="zh-CN"/>
        </w:rPr>
      </w:pPr>
      <w:r>
        <w:rPr>
          <w:lang w:eastAsia="zh-CN"/>
        </w:rPr>
        <w:t>香港金管局发布单独的</w:t>
      </w:r>
      <w:hyperlink r:id="rId23">
        <w:r>
          <w:rPr>
            <w:lang w:eastAsia="zh-CN"/>
          </w:rPr>
          <w:t>就认可机构与虚拟资产及虚拟资产服务提供者业务关连的通函</w:t>
        </w:r>
      </w:hyperlink>
      <w:hyperlink w:anchor="footnote-598-17">
        <w:r>
          <w:rPr>
            <w:vertAlign w:val="superscript"/>
            <w:lang w:eastAsia="zh-CN"/>
          </w:rPr>
          <w:t>17</w:t>
        </w:r>
      </w:hyperlink>
      <w:r>
        <w:rPr>
          <w:lang w:eastAsia="zh-CN"/>
        </w:rPr>
        <w:t>。该通函指出，金管局现时无意禁止认可机构承担有关虚拟资产的金融风险，例如透过投资虚拟资产、以虚拟资产作为抵押品进行放</w:t>
      </w:r>
      <w:r>
        <w:rPr>
          <w:lang w:eastAsia="zh-CN"/>
        </w:rPr>
        <w:t>贷，或准许客户利用信用卡或其他支付服务来获取虚拟资产。惟前提是认可机构已制定充足的风险管控措施，并由高级管理层对此类活动进行充分监督。</w:t>
      </w:r>
    </w:p>
    <w:p w:rsidR="00124816" w:rsidRDefault="00055FE4">
      <w:pPr>
        <w:pStyle w:val="BodyText"/>
        <w:rPr>
          <w:lang w:eastAsia="zh-CN"/>
        </w:rPr>
      </w:pPr>
      <w:r>
        <w:rPr>
          <w:lang w:eastAsia="zh-CN"/>
        </w:rPr>
        <w:t>认可机构须因应对其将会承担风险的虚拟资产进行适当的尽职审查。认可机构须了解虚拟资产的法律及财务结构、其创立背后的支援技术，以及参与虚拟资产计划运作的各方背景及其风险管理安排，和认可机构所购入作投资的虚拟资产的来源。根据所得资料，认可机构须审慎评估本身对不同类别风险承担的数额，并采取适当的风险缓减措施，例如设定该机构对虚拟资产风险承担总额的审慎上限，并对可接受作为抵押品的虚拟资产拟定保守的贷款与价值比率。如存在剩余风险，认可机构须参考适用于虚拟资产的现行资本规定，预留足够的资本。</w:t>
      </w:r>
    </w:p>
    <w:p w:rsidR="00124816" w:rsidRDefault="00055FE4">
      <w:pPr>
        <w:pStyle w:val="BodyText"/>
        <w:rPr>
          <w:lang w:eastAsia="zh-CN"/>
        </w:rPr>
      </w:pPr>
      <w:r>
        <w:rPr>
          <w:lang w:eastAsia="zh-CN"/>
        </w:rPr>
        <w:t>打击洗钱及恐怖分子资金筹集与</w:t>
      </w:r>
      <w:r>
        <w:rPr>
          <w:lang w:eastAsia="zh-CN"/>
        </w:rPr>
        <w:t>金融犯罪风险</w:t>
      </w:r>
    </w:p>
    <w:p w:rsidR="00124816" w:rsidRDefault="00055FE4">
      <w:pPr>
        <w:pStyle w:val="BodyText"/>
        <w:rPr>
          <w:lang w:eastAsia="zh-CN"/>
        </w:rPr>
      </w:pPr>
      <w:r>
        <w:rPr>
          <w:b/>
          <w:i/>
          <w:lang w:eastAsia="zh-CN"/>
        </w:rPr>
        <w:lastRenderedPageBreak/>
        <w:t>客户透过其银行户口参与虚拟资产相关活动</w:t>
      </w:r>
    </w:p>
    <w:p w:rsidR="00124816" w:rsidRDefault="00055FE4">
      <w:pPr>
        <w:pStyle w:val="BodyText"/>
        <w:rPr>
          <w:lang w:eastAsia="zh-CN"/>
        </w:rPr>
      </w:pPr>
      <w:r>
        <w:rPr>
          <w:lang w:eastAsia="zh-CN"/>
        </w:rPr>
        <w:t>认可机构在其持续监察工作的过程中须特别注意其客户参与虚拟资产相关的活动（例如与虚拟资产平台频繁的资金往来）。认可机构须设法了解有关虚拟资产交易的性质，若发现有任何可疑之处，须向联合财富情报组提交可疑交易报告。</w:t>
      </w:r>
    </w:p>
    <w:p w:rsidR="00124816" w:rsidRDefault="00055FE4">
      <w:pPr>
        <w:pStyle w:val="BodyText"/>
        <w:rPr>
          <w:lang w:eastAsia="zh-CN"/>
        </w:rPr>
      </w:pPr>
      <w:r>
        <w:rPr>
          <w:b/>
          <w:i/>
          <w:lang w:eastAsia="zh-CN"/>
        </w:rPr>
        <w:t>与虚拟资产服务提供者的银行服务关系</w:t>
      </w:r>
    </w:p>
    <w:p w:rsidR="00124816" w:rsidRDefault="00055FE4">
      <w:pPr>
        <w:pStyle w:val="BodyText"/>
        <w:rPr>
          <w:lang w:eastAsia="zh-CN"/>
        </w:rPr>
      </w:pPr>
      <w:r>
        <w:rPr>
          <w:lang w:eastAsia="zh-CN"/>
        </w:rPr>
        <w:t>认可机构若与虚拟资产服务提供者建立及维持业务关系（如为虚拟资产服务提供者开立银行户口），须根据风险为本的原则进行适当的洗钱及恐怖分子资金筹集风险评估。视乎有关业务关系的性质，认可机构可能需要采取额外的客户尽职审查措施，正如当要提供代理银行或其他类似关系服务予金融机构，以便后者能向其本身客户提供产品及服务的情况。</w:t>
      </w:r>
    </w:p>
    <w:p w:rsidR="00124816" w:rsidRDefault="00055FE4">
      <w:pPr>
        <w:pStyle w:val="BodyText"/>
        <w:rPr>
          <w:lang w:eastAsia="zh-CN"/>
        </w:rPr>
      </w:pPr>
      <w:r>
        <w:rPr>
          <w:lang w:eastAsia="zh-CN"/>
        </w:rPr>
        <w:t>保险业监管局发布关于虚拟资产及虚拟资产服务提供者的监管方法的单独通函</w:t>
      </w:r>
    </w:p>
    <w:p w:rsidR="00124816" w:rsidRDefault="00055FE4">
      <w:pPr>
        <w:pStyle w:val="BodyText"/>
        <w:rPr>
          <w:lang w:eastAsia="zh-CN"/>
        </w:rPr>
      </w:pPr>
      <w:r>
        <w:rPr>
          <w:lang w:eastAsia="zh-CN"/>
        </w:rPr>
        <w:t>2022</w:t>
      </w:r>
      <w:r>
        <w:rPr>
          <w:lang w:eastAsia="zh-CN"/>
        </w:rPr>
        <w:t>年</w:t>
      </w:r>
      <w:r>
        <w:rPr>
          <w:lang w:eastAsia="zh-CN"/>
        </w:rPr>
        <w:t>1</w:t>
      </w:r>
      <w:r>
        <w:rPr>
          <w:lang w:eastAsia="zh-CN"/>
        </w:rPr>
        <w:t>月</w:t>
      </w:r>
      <w:r>
        <w:rPr>
          <w:lang w:eastAsia="zh-CN"/>
        </w:rPr>
        <w:t>28</w:t>
      </w:r>
      <w:r>
        <w:rPr>
          <w:lang w:eastAsia="zh-CN"/>
        </w:rPr>
        <w:t>日，保险业监管局向</w:t>
      </w:r>
      <w:hyperlink r:id="rId24">
        <w:r>
          <w:rPr>
            <w:lang w:eastAsia="zh-CN"/>
          </w:rPr>
          <w:t>认可保险公司发布关于虚拟资产及虚拟资产服务提供者的监管方法的通函</w:t>
        </w:r>
      </w:hyperlink>
      <w:r>
        <w:rPr>
          <w:lang w:eastAsia="zh-CN"/>
        </w:rPr>
        <w:t>，提醒认可保险公司在评估和处理与</w:t>
      </w:r>
      <w:bookmarkStart w:id="0" w:name="_GoBack"/>
      <w:bookmarkEnd w:id="0"/>
      <w:r>
        <w:rPr>
          <w:lang w:eastAsia="zh-CN"/>
        </w:rPr>
        <w:t>虚拟资产相关活动相关的风险时，应遵守《企业风险管理指引》</w:t>
      </w:r>
      <w:r>
        <w:rPr>
          <w:lang w:eastAsia="zh-CN"/>
        </w:rPr>
        <w:t>(</w:t>
      </w:r>
      <w:r>
        <w:rPr>
          <w:b/>
          <w:lang w:eastAsia="zh-CN"/>
        </w:rPr>
        <w:t>GL21</w:t>
      </w:r>
      <w:r>
        <w:rPr>
          <w:lang w:eastAsia="zh-CN"/>
        </w:rPr>
        <w:t>)</w:t>
      </w:r>
      <w:r>
        <w:rPr>
          <w:lang w:eastAsia="zh-CN"/>
        </w:rPr>
        <w:t>规定的义务。总体而言，</w:t>
      </w:r>
      <w:r>
        <w:rPr>
          <w:lang w:eastAsia="zh-CN"/>
        </w:rPr>
        <w:t>GL21</w:t>
      </w:r>
      <w:r>
        <w:rPr>
          <w:lang w:eastAsia="zh-CN"/>
        </w:rPr>
        <w:t>要求认可保险公司拥有健全的管治和流程，以识别和评估其风险敞口，并监测、管理和降低其风险。</w:t>
      </w:r>
      <w:r>
        <w:rPr>
          <w:lang w:eastAsia="zh-CN"/>
        </w:rPr>
        <w:t xml:space="preserve"> </w:t>
      </w:r>
      <w:r>
        <w:rPr>
          <w:lang w:eastAsia="zh-CN"/>
        </w:rPr>
        <w:t>该通函列出了与虚拟资产相关的活动需要考虑的具体因素。</w:t>
      </w:r>
    </w:p>
    <w:p w:rsidR="00124816" w:rsidRDefault="00055FE4" w:rsidP="009116B2">
      <w:pPr>
        <w:pStyle w:val="BodyText"/>
        <w:jc w:val="left"/>
        <w:rPr>
          <w:lang w:eastAsia="zh-CN"/>
        </w:rPr>
      </w:pPr>
      <w:hyperlink w:anchor="footnote-598-1-backlink">
        <w:r>
          <w:rPr>
            <w:lang w:eastAsia="zh-CN"/>
          </w:rPr>
          <w:t>1</w:t>
        </w:r>
      </w:hyperlink>
      <w:r>
        <w:rPr>
          <w:lang w:eastAsia="zh-CN"/>
        </w:rPr>
        <w:t xml:space="preserve"> </w:t>
      </w:r>
      <w:r>
        <w:rPr>
          <w:lang w:eastAsia="zh-CN"/>
        </w:rPr>
        <w:t>证监会及金管局</w:t>
      </w:r>
      <w:r>
        <w:rPr>
          <w:lang w:eastAsia="zh-CN"/>
        </w:rPr>
        <w:t xml:space="preserve"> “</w:t>
      </w:r>
      <w:r>
        <w:rPr>
          <w:lang w:eastAsia="zh-CN"/>
        </w:rPr>
        <w:t>有关中介人的虚拟资产相关活动的联合通函</w:t>
      </w:r>
      <w:r>
        <w:rPr>
          <w:lang w:eastAsia="zh-CN"/>
        </w:rPr>
        <w:t>” (2022</w:t>
      </w:r>
      <w:r>
        <w:rPr>
          <w:lang w:eastAsia="zh-CN"/>
        </w:rPr>
        <w:t>年</w:t>
      </w:r>
      <w:r>
        <w:rPr>
          <w:lang w:eastAsia="zh-CN"/>
        </w:rPr>
        <w:t>1</w:t>
      </w:r>
      <w:r>
        <w:rPr>
          <w:lang w:eastAsia="zh-CN"/>
        </w:rPr>
        <w:t>月</w:t>
      </w:r>
      <w:r>
        <w:rPr>
          <w:lang w:eastAsia="zh-CN"/>
        </w:rPr>
        <w:t>28</w:t>
      </w:r>
      <w:r>
        <w:rPr>
          <w:lang w:eastAsia="zh-CN"/>
        </w:rPr>
        <w:t>日</w:t>
      </w:r>
      <w:r>
        <w:rPr>
          <w:lang w:eastAsia="zh-CN"/>
        </w:rPr>
        <w:t>)</w:t>
      </w:r>
      <w:r>
        <w:rPr>
          <w:lang w:eastAsia="zh-CN"/>
        </w:rPr>
        <w:t>，请访问：</w:t>
      </w:r>
      <w:hyperlink r:id="rId25">
        <w:r>
          <w:rPr>
            <w:lang w:eastAsia="zh-CN"/>
          </w:rPr>
          <w:t>https://apps.sfc.hk/edistributionWeb/api/circular/openFile?lang=EN&amp;refNo=22EC10</w:t>
        </w:r>
      </w:hyperlink>
    </w:p>
    <w:p w:rsidR="00124816" w:rsidRDefault="00055FE4" w:rsidP="009116B2">
      <w:pPr>
        <w:pStyle w:val="BodyText"/>
        <w:jc w:val="left"/>
        <w:rPr>
          <w:lang w:eastAsia="zh-CN"/>
        </w:rPr>
      </w:pPr>
      <w:hyperlink w:anchor="footnote-598-2-backlink">
        <w:r>
          <w:rPr>
            <w:lang w:eastAsia="zh-CN"/>
          </w:rPr>
          <w:t>2</w:t>
        </w:r>
      </w:hyperlink>
      <w:r>
        <w:rPr>
          <w:lang w:eastAsia="zh-CN"/>
        </w:rPr>
        <w:t xml:space="preserve"> </w:t>
      </w:r>
      <w:r>
        <w:rPr>
          <w:lang w:eastAsia="zh-CN"/>
        </w:rPr>
        <w:t>证监会。</w:t>
      </w:r>
      <w:r>
        <w:rPr>
          <w:lang w:eastAsia="zh-CN"/>
        </w:rPr>
        <w:t>“</w:t>
      </w:r>
      <w:r>
        <w:rPr>
          <w:lang w:eastAsia="zh-CN"/>
        </w:rPr>
        <w:t>向中介人发出有关分销虚拟资产基金的通函</w:t>
      </w:r>
      <w:r>
        <w:rPr>
          <w:lang w:eastAsia="zh-CN"/>
        </w:rPr>
        <w:t>” (2018</w:t>
      </w:r>
      <w:r>
        <w:rPr>
          <w:lang w:eastAsia="zh-CN"/>
        </w:rPr>
        <w:t>年</w:t>
      </w:r>
      <w:r>
        <w:rPr>
          <w:lang w:eastAsia="zh-CN"/>
        </w:rPr>
        <w:t>11</w:t>
      </w:r>
      <w:r>
        <w:rPr>
          <w:lang w:eastAsia="zh-CN"/>
        </w:rPr>
        <w:t>月</w:t>
      </w:r>
      <w:r>
        <w:rPr>
          <w:lang w:eastAsia="zh-CN"/>
        </w:rPr>
        <w:t>1</w:t>
      </w:r>
      <w:r>
        <w:rPr>
          <w:lang w:eastAsia="zh-CN"/>
        </w:rPr>
        <w:t>日</w:t>
      </w:r>
      <w:r>
        <w:rPr>
          <w:lang w:eastAsia="zh-CN"/>
        </w:rPr>
        <w:t>)</w:t>
      </w:r>
      <w:r>
        <w:rPr>
          <w:lang w:eastAsia="zh-CN"/>
        </w:rPr>
        <w:t>，请访问：</w:t>
      </w:r>
      <w:hyperlink r:id="rId26">
        <w:r>
          <w:rPr>
            <w:lang w:eastAsia="zh-CN"/>
          </w:rPr>
          <w:t>https://apps.sfc.hk/edistributionWeb/gateway/EN/circular/doc?refNo=18EC</w:t>
        </w:r>
        <w:r>
          <w:rPr>
            <w:lang w:eastAsia="zh-CN"/>
          </w:rPr>
          <w:t>77</w:t>
        </w:r>
      </w:hyperlink>
    </w:p>
    <w:p w:rsidR="00124816" w:rsidRDefault="00055FE4" w:rsidP="009116B2">
      <w:pPr>
        <w:pStyle w:val="BodyText"/>
        <w:jc w:val="left"/>
        <w:rPr>
          <w:lang w:eastAsia="zh-CN"/>
        </w:rPr>
      </w:pPr>
      <w:hyperlink w:anchor="footnote-598-3-backlink">
        <w:r>
          <w:rPr>
            <w:lang w:eastAsia="zh-CN"/>
          </w:rPr>
          <w:t>3</w:t>
        </w:r>
      </w:hyperlink>
      <w:r>
        <w:rPr>
          <w:lang w:eastAsia="zh-CN"/>
        </w:rPr>
        <w:t xml:space="preserve"> </w:t>
      </w:r>
      <w:r>
        <w:rPr>
          <w:lang w:eastAsia="zh-CN"/>
        </w:rPr>
        <w:t>此类服务可能包括不属于《证券及期货条例》中</w:t>
      </w:r>
      <w:r>
        <w:rPr>
          <w:lang w:eastAsia="zh-CN"/>
        </w:rPr>
        <w:t>“</w:t>
      </w:r>
      <w:r>
        <w:rPr>
          <w:lang w:eastAsia="zh-CN"/>
        </w:rPr>
        <w:t>证券</w:t>
      </w:r>
      <w:r>
        <w:rPr>
          <w:lang w:eastAsia="zh-CN"/>
        </w:rPr>
        <w:t>”</w:t>
      </w:r>
      <w:r>
        <w:rPr>
          <w:lang w:eastAsia="zh-CN"/>
        </w:rPr>
        <w:t>定义的虚拟资产。</w:t>
      </w:r>
    </w:p>
    <w:p w:rsidR="00124816" w:rsidRDefault="00055FE4" w:rsidP="009116B2">
      <w:pPr>
        <w:pStyle w:val="BodyText"/>
        <w:jc w:val="left"/>
        <w:rPr>
          <w:lang w:eastAsia="zh-CN"/>
        </w:rPr>
      </w:pPr>
      <w:hyperlink w:anchor="footnote-598-4-backlink">
        <w:r>
          <w:rPr>
            <w:lang w:eastAsia="zh-CN"/>
          </w:rPr>
          <w:t>4</w:t>
        </w:r>
      </w:hyperlink>
      <w:r>
        <w:rPr>
          <w:lang w:eastAsia="zh-CN"/>
        </w:rPr>
        <w:t xml:space="preserve"> </w:t>
      </w:r>
      <w:r>
        <w:rPr>
          <w:lang w:eastAsia="zh-CN"/>
        </w:rPr>
        <w:t>证监会。</w:t>
      </w:r>
      <w:r>
        <w:rPr>
          <w:lang w:eastAsia="zh-CN"/>
        </w:rPr>
        <w:t>“</w:t>
      </w:r>
      <w:r>
        <w:rPr>
          <w:lang w:eastAsia="zh-CN"/>
        </w:rPr>
        <w:t>立场书</w:t>
      </w:r>
      <w:r>
        <w:rPr>
          <w:lang w:eastAsia="zh-CN"/>
        </w:rPr>
        <w:t>:</w:t>
      </w:r>
      <w:r>
        <w:rPr>
          <w:lang w:eastAsia="zh-CN"/>
        </w:rPr>
        <w:t>监管虚拟资产交易平台</w:t>
      </w:r>
      <w:r>
        <w:rPr>
          <w:lang w:eastAsia="zh-CN"/>
        </w:rPr>
        <w:t>”</w:t>
      </w:r>
      <w:r>
        <w:rPr>
          <w:lang w:eastAsia="zh-CN"/>
        </w:rPr>
        <w:t>。</w:t>
      </w:r>
      <w:r>
        <w:rPr>
          <w:lang w:eastAsia="zh-CN"/>
        </w:rPr>
        <w:t>(2019</w:t>
      </w:r>
      <w:r>
        <w:rPr>
          <w:lang w:eastAsia="zh-CN"/>
        </w:rPr>
        <w:t>年</w:t>
      </w:r>
      <w:r>
        <w:rPr>
          <w:lang w:eastAsia="zh-CN"/>
        </w:rPr>
        <w:t>11</w:t>
      </w:r>
      <w:r>
        <w:rPr>
          <w:lang w:eastAsia="zh-CN"/>
        </w:rPr>
        <w:t>月</w:t>
      </w:r>
      <w:r>
        <w:rPr>
          <w:lang w:eastAsia="zh-CN"/>
        </w:rPr>
        <w:t>6</w:t>
      </w:r>
      <w:r>
        <w:rPr>
          <w:lang w:eastAsia="zh-CN"/>
        </w:rPr>
        <w:t>日</w:t>
      </w:r>
      <w:r>
        <w:rPr>
          <w:lang w:eastAsia="zh-CN"/>
        </w:rPr>
        <w:t>)</w:t>
      </w:r>
      <w:r>
        <w:rPr>
          <w:lang w:eastAsia="zh-CN"/>
        </w:rPr>
        <w:t>，请访问：</w:t>
      </w:r>
      <w:hyperlink r:id="rId27">
        <w:r>
          <w:rPr>
            <w:lang w:eastAsia="zh-CN"/>
          </w:rPr>
          <w:t>https://www.sfc.hk/-/media/EN/files/ER/PDF/20191106-Position-Paper-and-Appendix-1-to-Position-Paper-Eng.pdf</w:t>
        </w:r>
      </w:hyperlink>
    </w:p>
    <w:p w:rsidR="00124816" w:rsidRDefault="00055FE4" w:rsidP="009116B2">
      <w:pPr>
        <w:pStyle w:val="BodyText"/>
        <w:jc w:val="left"/>
      </w:pPr>
      <w:hyperlink w:anchor="footnote-598-5-backlink">
        <w:r>
          <w:t>5</w:t>
        </w:r>
      </w:hyperlink>
      <w:r>
        <w:t xml:space="preserve"> </w:t>
      </w:r>
      <w:r>
        <w:t>证监会。</w:t>
      </w:r>
      <w:r>
        <w:t>“</w:t>
      </w:r>
      <w:r>
        <w:t>《证监会持牌人或注册人操守准则》</w:t>
      </w:r>
      <w:r>
        <w:t>”</w:t>
      </w:r>
      <w:r>
        <w:t>，请访问：</w:t>
      </w:r>
      <w:hyperlink r:id="rId28">
        <w:r>
          <w:t>https://www.sfc.hk/-/media/EN/assets/components/codes/files-</w:t>
        </w:r>
        <w:r>
          <w:t>current/web/codes/code-of-conduct-for-persons-licensed-by-or-registered-with-the-securities-and-futures-commission/Code_of_conduct-Dec-2020_Eng.pdf</w:t>
        </w:r>
      </w:hyperlink>
    </w:p>
    <w:p w:rsidR="00124816" w:rsidRDefault="00055FE4" w:rsidP="009116B2">
      <w:pPr>
        <w:pStyle w:val="BodyText"/>
        <w:jc w:val="left"/>
        <w:rPr>
          <w:lang w:eastAsia="zh-CN"/>
        </w:rPr>
      </w:pPr>
      <w:hyperlink w:anchor="footnote-598-6-backlink">
        <w:r>
          <w:rPr>
            <w:lang w:eastAsia="zh-CN"/>
          </w:rPr>
          <w:t>6</w:t>
        </w:r>
      </w:hyperlink>
      <w:r>
        <w:rPr>
          <w:lang w:eastAsia="zh-CN"/>
        </w:rPr>
        <w:t xml:space="preserve"> </w:t>
      </w:r>
      <w:r>
        <w:rPr>
          <w:lang w:eastAsia="zh-CN"/>
        </w:rPr>
        <w:t>证监会。</w:t>
      </w:r>
      <w:r>
        <w:rPr>
          <w:lang w:eastAsia="zh-CN"/>
        </w:rPr>
        <w:t>“</w:t>
      </w:r>
      <w:r>
        <w:rPr>
          <w:lang w:eastAsia="zh-CN"/>
        </w:rPr>
        <w:t>《网上分销及投资谘询平台指引》</w:t>
      </w:r>
      <w:r>
        <w:rPr>
          <w:lang w:eastAsia="zh-CN"/>
        </w:rPr>
        <w:t>”</w:t>
      </w:r>
      <w:r>
        <w:rPr>
          <w:lang w:eastAsia="zh-CN"/>
        </w:rPr>
        <w:t>。</w:t>
      </w:r>
      <w:r>
        <w:rPr>
          <w:lang w:eastAsia="zh-CN"/>
        </w:rPr>
        <w:t>(2019</w:t>
      </w:r>
      <w:r>
        <w:rPr>
          <w:lang w:eastAsia="zh-CN"/>
        </w:rPr>
        <w:t>年</w:t>
      </w:r>
      <w:r>
        <w:rPr>
          <w:lang w:eastAsia="zh-CN"/>
        </w:rPr>
        <w:t>7</w:t>
      </w:r>
      <w:r>
        <w:rPr>
          <w:lang w:eastAsia="zh-CN"/>
        </w:rPr>
        <w:t>月</w:t>
      </w:r>
      <w:r>
        <w:rPr>
          <w:lang w:eastAsia="zh-CN"/>
        </w:rPr>
        <w:t xml:space="preserve">) </w:t>
      </w:r>
      <w:r>
        <w:rPr>
          <w:lang w:eastAsia="zh-CN"/>
        </w:rPr>
        <w:t>，请访问：</w:t>
      </w:r>
      <w:hyperlink r:id="rId29">
        <w:r>
          <w:rPr>
            <w:lang w:eastAsia="zh-CN"/>
          </w:rPr>
          <w:t>https://www.sfc.hk/-/media/EN/assets/components/codes/files</w:t>
        </w:r>
        <w:r>
          <w:rPr>
            <w:lang w:eastAsia="zh-CN"/>
          </w:rPr>
          <w:t>-current/web/guidelines/guidelines-on-online-distribution-and-advisory-platforms/guidelines-on-online-distribution-and-advisory-platforms.pdf</w:t>
        </w:r>
      </w:hyperlink>
    </w:p>
    <w:p w:rsidR="00124816" w:rsidRDefault="00055FE4" w:rsidP="009116B2">
      <w:pPr>
        <w:pStyle w:val="BodyText"/>
        <w:jc w:val="left"/>
        <w:rPr>
          <w:lang w:eastAsia="zh-CN"/>
        </w:rPr>
      </w:pPr>
      <w:hyperlink w:anchor="footnote-598-7-backlink">
        <w:r>
          <w:rPr>
            <w:lang w:eastAsia="zh-CN"/>
          </w:rPr>
          <w:t>7</w:t>
        </w:r>
      </w:hyperlink>
      <w:r>
        <w:rPr>
          <w:lang w:eastAsia="zh-CN"/>
        </w:rPr>
        <w:t xml:space="preserve"> </w:t>
      </w:r>
      <w:r>
        <w:rPr>
          <w:lang w:eastAsia="zh-CN"/>
        </w:rPr>
        <w:t>证监会《操守准则》第</w:t>
      </w:r>
      <w:r>
        <w:rPr>
          <w:lang w:eastAsia="zh-CN"/>
        </w:rPr>
        <w:t>15.2</w:t>
      </w:r>
      <w:r>
        <w:rPr>
          <w:lang w:eastAsia="zh-CN"/>
        </w:rPr>
        <w:t>段将</w:t>
      </w:r>
      <w:r>
        <w:rPr>
          <w:lang w:eastAsia="zh-CN"/>
        </w:rPr>
        <w:t>“</w:t>
      </w:r>
      <w:r>
        <w:rPr>
          <w:lang w:eastAsia="zh-CN"/>
        </w:rPr>
        <w:t>机构专业投资者</w:t>
      </w:r>
      <w:r>
        <w:rPr>
          <w:lang w:eastAsia="zh-CN"/>
        </w:rPr>
        <w:t>”</w:t>
      </w:r>
      <w:r>
        <w:rPr>
          <w:lang w:eastAsia="zh-CN"/>
        </w:rPr>
        <w:t>定义为《证券及期货条例》附表</w:t>
      </w:r>
      <w:r>
        <w:rPr>
          <w:lang w:eastAsia="zh-CN"/>
        </w:rPr>
        <w:t>1</w:t>
      </w:r>
      <w:r>
        <w:rPr>
          <w:lang w:eastAsia="zh-CN"/>
        </w:rPr>
        <w:t>第</w:t>
      </w:r>
      <w:r>
        <w:rPr>
          <w:lang w:eastAsia="zh-CN"/>
        </w:rPr>
        <w:t>1</w:t>
      </w:r>
      <w:r>
        <w:rPr>
          <w:lang w:eastAsia="zh-CN"/>
        </w:rPr>
        <w:t>部第</w:t>
      </w:r>
      <w:r>
        <w:rPr>
          <w:lang w:eastAsia="zh-CN"/>
        </w:rPr>
        <w:t>1</w:t>
      </w:r>
      <w:r>
        <w:rPr>
          <w:lang w:eastAsia="zh-CN"/>
        </w:rPr>
        <w:t>条</w:t>
      </w:r>
      <w:r>
        <w:rPr>
          <w:lang w:eastAsia="zh-CN"/>
        </w:rPr>
        <w:t>“</w:t>
      </w:r>
      <w:r>
        <w:rPr>
          <w:lang w:eastAsia="zh-CN"/>
        </w:rPr>
        <w:t>专业投资者</w:t>
      </w:r>
      <w:r>
        <w:rPr>
          <w:lang w:eastAsia="zh-CN"/>
        </w:rPr>
        <w:t>”</w:t>
      </w:r>
      <w:r>
        <w:rPr>
          <w:lang w:eastAsia="zh-CN"/>
        </w:rPr>
        <w:t>定义第</w:t>
      </w:r>
      <w:r>
        <w:rPr>
          <w:lang w:eastAsia="zh-CN"/>
        </w:rPr>
        <w:t>(a)</w:t>
      </w:r>
      <w:r>
        <w:rPr>
          <w:lang w:eastAsia="zh-CN"/>
        </w:rPr>
        <w:t>至</w:t>
      </w:r>
      <w:r>
        <w:rPr>
          <w:lang w:eastAsia="zh-CN"/>
        </w:rPr>
        <w:t>(i)</w:t>
      </w:r>
      <w:r>
        <w:rPr>
          <w:lang w:eastAsia="zh-CN"/>
        </w:rPr>
        <w:t>段内的</w:t>
      </w:r>
      <w:r>
        <w:rPr>
          <w:lang w:eastAsia="zh-CN"/>
        </w:rPr>
        <w:t>投资者</w:t>
      </w:r>
    </w:p>
    <w:p w:rsidR="00124816" w:rsidRDefault="00055FE4" w:rsidP="009116B2">
      <w:pPr>
        <w:pStyle w:val="BodyText"/>
        <w:jc w:val="left"/>
        <w:rPr>
          <w:lang w:eastAsia="zh-CN"/>
        </w:rPr>
      </w:pPr>
      <w:hyperlink w:anchor="footnote-598-8-backlink">
        <w:r>
          <w:rPr>
            <w:lang w:eastAsia="zh-CN"/>
          </w:rPr>
          <w:t>8</w:t>
        </w:r>
      </w:hyperlink>
      <w:r>
        <w:rPr>
          <w:lang w:eastAsia="zh-CN"/>
        </w:rPr>
        <w:t xml:space="preserve"> “</w:t>
      </w:r>
      <w:r>
        <w:rPr>
          <w:lang w:eastAsia="zh-CN"/>
        </w:rPr>
        <w:t>合资格的法团专业投资者</w:t>
      </w:r>
      <w:r>
        <w:rPr>
          <w:lang w:eastAsia="zh-CN"/>
        </w:rPr>
        <w:t>”</w:t>
      </w:r>
      <w:r>
        <w:rPr>
          <w:lang w:eastAsia="zh-CN"/>
        </w:rPr>
        <w:t>为已通过《证监会操守准则》第</w:t>
      </w:r>
      <w:r>
        <w:rPr>
          <w:lang w:eastAsia="zh-CN"/>
        </w:rPr>
        <w:t>15.3A</w:t>
      </w:r>
      <w:r>
        <w:rPr>
          <w:lang w:eastAsia="zh-CN"/>
        </w:rPr>
        <w:t>段的评估规定，并已经历第</w:t>
      </w:r>
      <w:r>
        <w:rPr>
          <w:lang w:eastAsia="zh-CN"/>
        </w:rPr>
        <w:t>15.3B</w:t>
      </w:r>
      <w:r>
        <w:rPr>
          <w:lang w:eastAsia="zh-CN"/>
        </w:rPr>
        <w:t>段所指明的程序的法团专业投资者</w:t>
      </w:r>
    </w:p>
    <w:p w:rsidR="00124816" w:rsidRDefault="00055FE4" w:rsidP="009116B2">
      <w:pPr>
        <w:pStyle w:val="BodyText"/>
        <w:jc w:val="left"/>
        <w:rPr>
          <w:lang w:eastAsia="zh-CN"/>
        </w:rPr>
      </w:pPr>
      <w:hyperlink w:anchor="footnote-598-9-backlink">
        <w:r>
          <w:rPr>
            <w:lang w:eastAsia="zh-CN"/>
          </w:rPr>
          <w:t>9</w:t>
        </w:r>
      </w:hyperlink>
      <w:r>
        <w:rPr>
          <w:lang w:eastAsia="zh-CN"/>
        </w:rPr>
        <w:t xml:space="preserve"> </w:t>
      </w:r>
      <w:r>
        <w:rPr>
          <w:lang w:eastAsia="zh-CN"/>
        </w:rPr>
        <w:t>附录</w:t>
      </w:r>
      <w:r>
        <w:rPr>
          <w:lang w:eastAsia="zh-CN"/>
        </w:rPr>
        <w:t>1 (</w:t>
      </w:r>
      <w:r>
        <w:rPr>
          <w:lang w:eastAsia="zh-CN"/>
        </w:rPr>
        <w:t>评估客户是否可被视为具有虚拟资产相关产品的知识的非详尽标准</w:t>
      </w:r>
      <w:r>
        <w:rPr>
          <w:lang w:eastAsia="zh-CN"/>
        </w:rPr>
        <w:t xml:space="preserve">”) </w:t>
      </w:r>
      <w:r>
        <w:rPr>
          <w:lang w:eastAsia="zh-CN"/>
        </w:rPr>
        <w:t>，请访问：</w:t>
      </w:r>
      <w:hyperlink r:id="rId30">
        <w:r>
          <w:rPr>
            <w:lang w:eastAsia="zh-CN"/>
          </w:rPr>
          <w:t>https://apps.sfc.hk/edistributionWeb/api/circular/openAppendix?lang=EN&amp;refNo=22EC10&amp;appendix=0</w:t>
        </w:r>
      </w:hyperlink>
    </w:p>
    <w:p w:rsidR="00124816" w:rsidRDefault="00055FE4" w:rsidP="009116B2">
      <w:pPr>
        <w:pStyle w:val="BodyText"/>
        <w:jc w:val="left"/>
      </w:pPr>
      <w:hyperlink w:anchor="footnote-598-10-backlink">
        <w:r>
          <w:t>10</w:t>
        </w:r>
      </w:hyperlink>
      <w:r>
        <w:t xml:space="preserve"> </w:t>
      </w:r>
      <w:r>
        <w:t>非复杂及复杂产品，请访问：</w:t>
      </w:r>
      <w:hyperlink r:id="rId31">
        <w:r>
          <w:t>https://www.sfc.hk/en/Rules-and-standards/Suitability-requirement/Non-complex-and-complex-products</w:t>
        </w:r>
      </w:hyperlink>
    </w:p>
    <w:p w:rsidR="00124816" w:rsidRDefault="00055FE4" w:rsidP="009116B2">
      <w:pPr>
        <w:pStyle w:val="BodyText"/>
        <w:jc w:val="left"/>
        <w:rPr>
          <w:lang w:eastAsia="zh-CN"/>
        </w:rPr>
      </w:pPr>
      <w:hyperlink w:anchor="footnote-598-11-backlink">
        <w:r>
          <w:rPr>
            <w:lang w:eastAsia="zh-CN"/>
          </w:rPr>
          <w:t>11</w:t>
        </w:r>
      </w:hyperlink>
      <w:r>
        <w:rPr>
          <w:lang w:eastAsia="zh-CN"/>
        </w:rPr>
        <w:t xml:space="preserve"> </w:t>
      </w:r>
      <w:r>
        <w:rPr>
          <w:lang w:eastAsia="zh-CN"/>
        </w:rPr>
        <w:t>证监会。</w:t>
      </w:r>
      <w:r>
        <w:rPr>
          <w:lang w:eastAsia="zh-CN"/>
        </w:rPr>
        <w:t xml:space="preserve"> </w:t>
      </w:r>
      <w:r>
        <w:rPr>
          <w:lang w:eastAsia="zh-CN"/>
        </w:rPr>
        <w:t>持牌人或注册人遵守合适性义务的常见问题</w:t>
      </w:r>
      <w:r>
        <w:rPr>
          <w:lang w:eastAsia="zh-CN"/>
        </w:rPr>
        <w:t xml:space="preserve"> </w:t>
      </w:r>
      <w:r>
        <w:rPr>
          <w:lang w:eastAsia="zh-CN"/>
        </w:rPr>
        <w:t>，请访问：</w:t>
      </w:r>
      <w:r>
        <w:rPr>
          <w:lang w:eastAsia="zh-CN"/>
        </w:rPr>
        <w:t xml:space="preserve"> </w:t>
      </w:r>
      <w:hyperlink r:id="rId32">
        <w:r>
          <w:rPr>
            <w:lang w:eastAsia="zh-CN"/>
          </w:rPr>
          <w:t>https://www.sfc.hk/en/faqs/intermediaries/supervision/Complianc</w:t>
        </w:r>
        <w:r>
          <w:rPr>
            <w:lang w:eastAsia="zh-CN"/>
          </w:rPr>
          <w:t>e-with-Suitability-Obligations/Compliance-with-Suitability-Obligations</w:t>
        </w:r>
      </w:hyperlink>
    </w:p>
    <w:p w:rsidR="00124816" w:rsidRDefault="00055FE4" w:rsidP="009116B2">
      <w:pPr>
        <w:pStyle w:val="BodyText"/>
        <w:jc w:val="left"/>
        <w:rPr>
          <w:lang w:eastAsia="zh-CN"/>
        </w:rPr>
      </w:pPr>
      <w:hyperlink w:anchor="footnote-598-12-backlink">
        <w:r>
          <w:rPr>
            <w:lang w:eastAsia="zh-CN"/>
          </w:rPr>
          <w:t>12</w:t>
        </w:r>
      </w:hyperlink>
      <w:r>
        <w:rPr>
          <w:lang w:eastAsia="zh-CN"/>
        </w:rPr>
        <w:t xml:space="preserve"> </w:t>
      </w:r>
      <w:r>
        <w:rPr>
          <w:lang w:eastAsia="zh-CN"/>
        </w:rPr>
        <w:t>证监会。《有关触发为客户提供合理适当建议的责任的〈常见问题〉》</w:t>
      </w:r>
      <w:r>
        <w:rPr>
          <w:lang w:eastAsia="zh-CN"/>
        </w:rPr>
        <w:t xml:space="preserve"> </w:t>
      </w:r>
      <w:r>
        <w:rPr>
          <w:lang w:eastAsia="zh-CN"/>
        </w:rPr>
        <w:t>，请访问：</w:t>
      </w:r>
      <w:r>
        <w:rPr>
          <w:lang w:eastAsia="zh-CN"/>
        </w:rPr>
        <w:t xml:space="preserve"> </w:t>
      </w:r>
      <w:hyperlink r:id="rId33">
        <w:r>
          <w:rPr>
            <w:lang w:eastAsia="zh-CN"/>
          </w:rPr>
          <w:t>https://www.sfc.hk/en/faqs/intermediaries/supervision/Triggering-of-Suitability-Obligations/Triggering-of-Suitability-Obligations</w:t>
        </w:r>
      </w:hyperlink>
    </w:p>
    <w:p w:rsidR="00124816" w:rsidRDefault="00055FE4" w:rsidP="009116B2">
      <w:pPr>
        <w:pStyle w:val="BodyText"/>
        <w:jc w:val="left"/>
        <w:rPr>
          <w:lang w:eastAsia="zh-CN"/>
        </w:rPr>
      </w:pPr>
      <w:hyperlink w:anchor="footnote-598-13-backlink">
        <w:r>
          <w:rPr>
            <w:lang w:eastAsia="zh-CN"/>
          </w:rPr>
          <w:t>13</w:t>
        </w:r>
      </w:hyperlink>
      <w:r>
        <w:rPr>
          <w:lang w:eastAsia="zh-CN"/>
        </w:rPr>
        <w:t xml:space="preserve"> </w:t>
      </w:r>
      <w:r>
        <w:rPr>
          <w:lang w:eastAsia="zh-CN"/>
        </w:rPr>
        <w:t>证监会。</w:t>
      </w:r>
      <w:r>
        <w:rPr>
          <w:lang w:eastAsia="zh-CN"/>
        </w:rPr>
        <w:t>“</w:t>
      </w:r>
      <w:r>
        <w:rPr>
          <w:lang w:eastAsia="zh-CN"/>
        </w:rPr>
        <w:t>立场书</w:t>
      </w:r>
      <w:r>
        <w:rPr>
          <w:lang w:eastAsia="zh-CN"/>
        </w:rPr>
        <w:t xml:space="preserve">: </w:t>
      </w:r>
      <w:r>
        <w:rPr>
          <w:lang w:eastAsia="zh-CN"/>
        </w:rPr>
        <w:t>监管虚拟资产交易平台</w:t>
      </w:r>
      <w:r>
        <w:rPr>
          <w:lang w:eastAsia="zh-CN"/>
        </w:rPr>
        <w:t>” (2</w:t>
      </w:r>
      <w:r>
        <w:rPr>
          <w:lang w:eastAsia="zh-CN"/>
        </w:rPr>
        <w:t>019</w:t>
      </w:r>
      <w:r>
        <w:rPr>
          <w:lang w:eastAsia="zh-CN"/>
        </w:rPr>
        <w:t>年</w:t>
      </w:r>
      <w:r>
        <w:rPr>
          <w:lang w:eastAsia="zh-CN"/>
        </w:rPr>
        <w:t>11</w:t>
      </w:r>
      <w:r>
        <w:rPr>
          <w:lang w:eastAsia="zh-CN"/>
        </w:rPr>
        <w:t>月</w:t>
      </w:r>
      <w:r>
        <w:rPr>
          <w:lang w:eastAsia="zh-CN"/>
        </w:rPr>
        <w:t>6</w:t>
      </w:r>
      <w:r>
        <w:rPr>
          <w:lang w:eastAsia="zh-CN"/>
        </w:rPr>
        <w:t>日</w:t>
      </w:r>
      <w:r>
        <w:rPr>
          <w:lang w:eastAsia="zh-CN"/>
        </w:rPr>
        <w:t xml:space="preserve">) </w:t>
      </w:r>
      <w:r>
        <w:rPr>
          <w:lang w:eastAsia="zh-CN"/>
        </w:rPr>
        <w:t>，请访问：</w:t>
      </w:r>
      <w:hyperlink r:id="rId34">
        <w:r>
          <w:rPr>
            <w:lang w:eastAsia="zh-CN"/>
          </w:rPr>
          <w:t>https://www.sfc.hk/-/media/EN/files/ER/PDF/20191106-Position-Paper-and-Appendix-1-to-Position-Paper-Eng.pdf</w:t>
        </w:r>
      </w:hyperlink>
    </w:p>
    <w:p w:rsidR="00124816" w:rsidRDefault="00055FE4" w:rsidP="009116B2">
      <w:pPr>
        <w:pStyle w:val="BodyText"/>
        <w:jc w:val="left"/>
        <w:rPr>
          <w:lang w:eastAsia="zh-CN"/>
        </w:rPr>
      </w:pPr>
      <w:hyperlink w:anchor="footnote-598-14-backlink">
        <w:r>
          <w:rPr>
            <w:lang w:eastAsia="zh-CN"/>
          </w:rPr>
          <w:t>14</w:t>
        </w:r>
      </w:hyperlink>
      <w:r>
        <w:rPr>
          <w:lang w:eastAsia="zh-CN"/>
        </w:rPr>
        <w:t xml:space="preserve"> </w:t>
      </w:r>
      <w:r>
        <w:rPr>
          <w:lang w:eastAsia="zh-CN"/>
        </w:rPr>
        <w:t>这指的是由香港证监会根据《证券及期货条例》第</w:t>
      </w:r>
      <w:r>
        <w:rPr>
          <w:lang w:eastAsia="zh-CN"/>
        </w:rPr>
        <w:t>116</w:t>
      </w:r>
      <w:r>
        <w:rPr>
          <w:lang w:eastAsia="zh-CN"/>
        </w:rPr>
        <w:t>条，在香港证监会</w:t>
      </w:r>
      <w:r>
        <w:rPr>
          <w:lang w:eastAsia="zh-CN"/>
        </w:rPr>
        <w:t>2019</w:t>
      </w:r>
      <w:r>
        <w:rPr>
          <w:lang w:eastAsia="zh-CN"/>
        </w:rPr>
        <w:t>年</w:t>
      </w:r>
      <w:r>
        <w:rPr>
          <w:lang w:eastAsia="zh-CN"/>
        </w:rPr>
        <w:t>11</w:t>
      </w:r>
      <w:r>
        <w:rPr>
          <w:lang w:eastAsia="zh-CN"/>
        </w:rPr>
        <w:t>月发布的关于监管虚拟资产交易平台的立场书的所载框架下，获发牌的平台</w:t>
      </w:r>
    </w:p>
    <w:p w:rsidR="00124816" w:rsidRDefault="00055FE4" w:rsidP="009116B2">
      <w:pPr>
        <w:pStyle w:val="BodyText"/>
        <w:jc w:val="left"/>
      </w:pPr>
      <w:hyperlink w:anchor="footnote-598-15-backlink">
        <w:r>
          <w:t>15</w:t>
        </w:r>
      </w:hyperlink>
      <w:r>
        <w:t xml:space="preserve"> </w:t>
      </w:r>
      <w:r>
        <w:t>证监会。</w:t>
      </w:r>
      <w:r>
        <w:t>“</w:t>
      </w:r>
      <w:r>
        <w:t>立场书：监管虚拟资产交易平台</w:t>
      </w:r>
      <w:r>
        <w:t>”(2019</w:t>
      </w:r>
      <w:r>
        <w:t>年</w:t>
      </w:r>
      <w:r>
        <w:t>11</w:t>
      </w:r>
      <w:r>
        <w:t>月</w:t>
      </w:r>
      <w:r>
        <w:t>6</w:t>
      </w:r>
      <w:r>
        <w:t>日</w:t>
      </w:r>
      <w:r>
        <w:t>)</w:t>
      </w:r>
      <w:r>
        <w:t>，请访问：</w:t>
      </w:r>
      <w:hyperlink r:id="rId35">
        <w:r>
          <w:t>https://www.sfc.hk/-/media/EN/files/ER/PDF/20191106-Position-Paper-and-Appendix-1-to-Position-Paper-Eng.pdf</w:t>
        </w:r>
      </w:hyperlink>
    </w:p>
    <w:p w:rsidR="00124816" w:rsidRDefault="00055FE4" w:rsidP="009116B2">
      <w:pPr>
        <w:pStyle w:val="BodyText"/>
        <w:jc w:val="left"/>
        <w:rPr>
          <w:lang w:eastAsia="zh-CN"/>
        </w:rPr>
      </w:pPr>
      <w:hyperlink w:anchor="footnote-598-16-backlink">
        <w:r>
          <w:rPr>
            <w:lang w:eastAsia="zh-CN"/>
          </w:rPr>
          <w:t>16</w:t>
        </w:r>
      </w:hyperlink>
      <w:r>
        <w:rPr>
          <w:lang w:eastAsia="zh-CN"/>
        </w:rPr>
        <w:t xml:space="preserve"> </w:t>
      </w:r>
      <w:r>
        <w:rPr>
          <w:lang w:eastAsia="zh-CN"/>
        </w:rPr>
        <w:t>证监会。</w:t>
      </w:r>
      <w:r>
        <w:rPr>
          <w:lang w:eastAsia="zh-CN"/>
        </w:rPr>
        <w:t>“</w:t>
      </w:r>
      <w:r>
        <w:rPr>
          <w:lang w:eastAsia="zh-CN"/>
        </w:rPr>
        <w:t>管理投资于虚拟资产的投资组合的持</w:t>
      </w:r>
      <w:r>
        <w:rPr>
          <w:lang w:eastAsia="zh-CN"/>
        </w:rPr>
        <w:t>牌法团的标准条款及条件</w:t>
      </w:r>
      <w:r>
        <w:rPr>
          <w:lang w:eastAsia="zh-CN"/>
        </w:rPr>
        <w:t>” (2019</w:t>
      </w:r>
      <w:r>
        <w:rPr>
          <w:lang w:eastAsia="zh-CN"/>
        </w:rPr>
        <w:t>年</w:t>
      </w:r>
      <w:r>
        <w:rPr>
          <w:lang w:eastAsia="zh-CN"/>
        </w:rPr>
        <w:t>10</w:t>
      </w:r>
      <w:r>
        <w:rPr>
          <w:lang w:eastAsia="zh-CN"/>
        </w:rPr>
        <w:t>月</w:t>
      </w:r>
      <w:r>
        <w:rPr>
          <w:lang w:eastAsia="zh-CN"/>
        </w:rPr>
        <w:t xml:space="preserve">) </w:t>
      </w:r>
      <w:r>
        <w:rPr>
          <w:lang w:eastAsia="zh-CN"/>
        </w:rPr>
        <w:t>，请访问：</w:t>
      </w:r>
      <w:hyperlink r:id="rId36">
        <w:r>
          <w:rPr>
            <w:lang w:eastAsia="zh-CN"/>
          </w:rPr>
          <w:t>https://www.sfc.hk/web/files/IS/publications/VA_Portfolio_Managers_Terms_and_Conditions_(EN).pdf</w:t>
        </w:r>
      </w:hyperlink>
    </w:p>
    <w:p w:rsidR="00124816" w:rsidRDefault="00055FE4" w:rsidP="009116B2">
      <w:pPr>
        <w:pStyle w:val="BodyText"/>
        <w:jc w:val="left"/>
        <w:rPr>
          <w:lang w:eastAsia="zh-CN"/>
        </w:rPr>
      </w:pPr>
      <w:hyperlink w:anchor="footnote-598-17-backlink">
        <w:r>
          <w:rPr>
            <w:lang w:eastAsia="zh-CN"/>
          </w:rPr>
          <w:t>17</w:t>
        </w:r>
      </w:hyperlink>
      <w:r>
        <w:rPr>
          <w:lang w:eastAsia="zh-CN"/>
        </w:rPr>
        <w:t xml:space="preserve"> </w:t>
      </w:r>
      <w:r>
        <w:rPr>
          <w:lang w:eastAsia="zh-CN"/>
        </w:rPr>
        <w:t>金管局。</w:t>
      </w:r>
      <w:r>
        <w:rPr>
          <w:lang w:eastAsia="zh-CN"/>
        </w:rPr>
        <w:t>“</w:t>
      </w:r>
      <w:r>
        <w:rPr>
          <w:lang w:eastAsia="zh-CN"/>
        </w:rPr>
        <w:t>认可机构与虚拟资产及虚拟资产服务提供者业务关联的监管方法</w:t>
      </w:r>
      <w:r>
        <w:rPr>
          <w:lang w:eastAsia="zh-CN"/>
        </w:rPr>
        <w:t>” (2022</w:t>
      </w:r>
      <w:r>
        <w:rPr>
          <w:lang w:eastAsia="zh-CN"/>
        </w:rPr>
        <w:t>年</w:t>
      </w:r>
      <w:r>
        <w:rPr>
          <w:lang w:eastAsia="zh-CN"/>
        </w:rPr>
        <w:t>1</w:t>
      </w:r>
      <w:r>
        <w:rPr>
          <w:lang w:eastAsia="zh-CN"/>
        </w:rPr>
        <w:t>月</w:t>
      </w:r>
      <w:r>
        <w:rPr>
          <w:lang w:eastAsia="zh-CN"/>
        </w:rPr>
        <w:t>28</w:t>
      </w:r>
      <w:r>
        <w:rPr>
          <w:lang w:eastAsia="zh-CN"/>
        </w:rPr>
        <w:t>日</w:t>
      </w:r>
      <w:r>
        <w:rPr>
          <w:lang w:eastAsia="zh-CN"/>
        </w:rPr>
        <w:t>)</w:t>
      </w:r>
      <w:r>
        <w:rPr>
          <w:lang w:eastAsia="zh-CN"/>
        </w:rPr>
        <w:t>，请访问：</w:t>
      </w:r>
      <w:hyperlink r:id="rId37">
        <w:r>
          <w:rPr>
            <w:lang w:eastAsia="zh-CN"/>
          </w:rPr>
          <w:t>https://www.hkma.gov.hk/media/eng/doc/key-informati</w:t>
        </w:r>
        <w:r>
          <w:rPr>
            <w:lang w:eastAsia="zh-CN"/>
          </w:rPr>
          <w:t>on/guidelines-and-circular/2022/20220128e3.pdf</w:t>
        </w:r>
      </w:hyperlink>
    </w:p>
    <w:p w:rsidR="00124816" w:rsidRDefault="00055FE4">
      <w:pPr>
        <w:pStyle w:val="DisclaimerBold"/>
        <w:rPr>
          <w:lang w:eastAsia="zh-CN"/>
        </w:rPr>
      </w:pPr>
      <w:r>
        <w:rPr>
          <w:lang w:eastAsia="zh-CN"/>
        </w:rPr>
        <w:t>此法讯仅为提供相关资料信息之用，其内容并</w:t>
      </w:r>
    </w:p>
    <w:p w:rsidR="00124816" w:rsidRDefault="00055FE4">
      <w:pPr>
        <w:pStyle w:val="Disclaimer"/>
        <w:rPr>
          <w:lang w:eastAsia="zh-CN"/>
        </w:rPr>
      </w:pPr>
      <w:r>
        <w:rPr>
          <w:lang w:eastAsia="zh-CN"/>
        </w:rPr>
        <w:t>不构成法律建议及个案的法律分析。</w:t>
      </w:r>
    </w:p>
    <w:p w:rsidR="00124816" w:rsidRDefault="00055FE4">
      <w:pPr>
        <w:pStyle w:val="Disclaimer"/>
        <w:rPr>
          <w:lang w:eastAsia="zh-CN"/>
        </w:rPr>
      </w:pPr>
      <w:r>
        <w:rPr>
          <w:lang w:eastAsia="zh-CN"/>
        </w:rPr>
        <w:t>此法讯的发送并不是为了在易周律师行与用户或浏览者之间建立一种律师与客户之关系。</w:t>
      </w:r>
    </w:p>
    <w:p w:rsidR="00124816" w:rsidRDefault="00055FE4">
      <w:pPr>
        <w:pStyle w:val="Disclaimer"/>
        <w:rPr>
          <w:lang w:eastAsia="zh-CN"/>
        </w:rPr>
      </w:pPr>
      <w:r>
        <w:rPr>
          <w:lang w:eastAsia="zh-CN"/>
        </w:rPr>
        <w:t>易周律师行并不对可从互联网获得的任何第三方内容负责。</w:t>
      </w:r>
    </w:p>
    <w:p w:rsidR="00124816" w:rsidRDefault="00055FE4">
      <w:pPr>
        <w:pStyle w:val="Disclaimer"/>
        <w:rPr>
          <w:lang w:eastAsia="zh-CN"/>
        </w:rPr>
      </w:pPr>
      <w:r>
        <w:rPr>
          <w:lang w:eastAsia="zh-CN"/>
        </w:rPr>
        <w:t>如你不希望再收到易周法讯，请发送电邮至</w:t>
      </w:r>
      <w:r>
        <w:rPr>
          <w:lang w:eastAsia="zh-CN"/>
        </w:rPr>
        <w:t xml:space="preserve">  </w:t>
      </w:r>
      <w:hyperlink r:id="rId38">
        <w:r>
          <w:rPr>
            <w:lang w:eastAsia="zh-CN"/>
          </w:rPr>
          <w:t>unsubscribe@charltonslaw.com</w:t>
        </w:r>
      </w:hyperlink>
    </w:p>
    <w:p w:rsidR="00124816" w:rsidRDefault="00055FE4">
      <w:pPr>
        <w:pStyle w:val="BlackStrips"/>
      </w:pPr>
      <w:r>
        <w:t xml:space="preserve">Charltons - </w:t>
      </w:r>
      <w:r>
        <w:t>香港法律</w:t>
      </w:r>
      <w:r>
        <w:t xml:space="preserve"> - 2022</w:t>
      </w:r>
      <w:r>
        <w:t>年</w:t>
      </w:r>
      <w:r>
        <w:t>6</w:t>
      </w:r>
      <w:r>
        <w:t>月</w:t>
      </w:r>
      <w:r>
        <w:t>24</w:t>
      </w:r>
      <w:r>
        <w:t>日</w:t>
      </w:r>
    </w:p>
    <w:sectPr w:rsidR="00124816">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E4" w:rsidRDefault="00055FE4">
      <w:pPr>
        <w:spacing w:after="0"/>
      </w:pPr>
      <w:r>
        <w:separator/>
      </w:r>
    </w:p>
  </w:endnote>
  <w:endnote w:type="continuationSeparator" w:id="0">
    <w:p w:rsidR="00055FE4" w:rsidRDefault="00055F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E4" w:rsidRDefault="00055FE4">
      <w:r>
        <w:separator/>
      </w:r>
    </w:p>
  </w:footnote>
  <w:footnote w:type="continuationSeparator" w:id="0">
    <w:p w:rsidR="00055FE4" w:rsidRDefault="00055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01FA4FB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6DA607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723CF51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17AC96F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55FE4"/>
    <w:rsid w:val="00124816"/>
    <w:rsid w:val="004E29B3"/>
    <w:rsid w:val="00590D07"/>
    <w:rsid w:val="00784D58"/>
    <w:rsid w:val="008D6863"/>
    <w:rsid w:val="009116B2"/>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5AC93-D28A-4999-8924-75983A7A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api/circular/openFile?lang=EN&amp;refNo=22EC10" TargetMode="External"/><Relationship Id="rId13" Type="http://schemas.openxmlformats.org/officeDocument/2006/relationships/hyperlink" Target="https://apps.sfc.hk/edistributionWeb/api/circular/openAppendix?lang=EN&amp;refNo=22EC10&amp;appendix=0" TargetMode="External"/><Relationship Id="rId18" Type="http://schemas.openxmlformats.org/officeDocument/2006/relationships/hyperlink" Target="https://apps.sfc.hk/edistributionWeb/api/circular/openFile?lang=EN&amp;refNo=22EC10" TargetMode="External"/><Relationship Id="rId26" Type="http://schemas.openxmlformats.org/officeDocument/2006/relationships/hyperlink" Target="https://apps.sfc.hk/edistributionWeb/gateway/EN/circular/doc?refNo=18EC7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fc.hk/-/media/EN/files/ER/PDF/20191106-Position-Paper-and-Appendix-1-to-Position-Paper-Eng.pdf" TargetMode="External"/><Relationship Id="rId34" Type="http://schemas.openxmlformats.org/officeDocument/2006/relationships/hyperlink" Target="https://www.sfc.hk/-/media/EN/files/ER/PDF/20191106-Position-Paper-and-Appendix-1-to-Position-Paper-Eng.pdf" TargetMode="External"/><Relationship Id="rId7" Type="http://schemas.openxmlformats.org/officeDocument/2006/relationships/hyperlink" Target="http://www.charltonslaw.com.cn/xiang-gang-zheng-jian-hui-ji-xiang-gang-jin-guan-ju-fa-bu-you-guan-zhong-jie-ren-de-xu-ni-zi-chan-xiang-guan-huo-dong-de-lian-he-tong-han" TargetMode="External"/><Relationship Id="rId12" Type="http://schemas.openxmlformats.org/officeDocument/2006/relationships/hyperlink" Target="https://www.sfc.hk/-/media/EN/assets/components/codes/files-current/web/guidelines/guidelines-on-online-distribution-and-advisory-platforms/guidelines-on-online-distribution-and-advisory-platforms.pdf" TargetMode="External"/><Relationship Id="rId17" Type="http://schemas.openxmlformats.org/officeDocument/2006/relationships/hyperlink" Target="https://www.sfc.hk/en/faqs/intermediaries/supervision/Triggering-of-Suitability-Obligations/Triggering-of-Suitability-Obligations" TargetMode="External"/><Relationship Id="rId25" Type="http://schemas.openxmlformats.org/officeDocument/2006/relationships/hyperlink" Target="https://apps.sfc.hk/edistributionWeb/api/circular/openFile?lang=EN&amp;refNo=22EC10" TargetMode="External"/><Relationship Id="rId33" Type="http://schemas.openxmlformats.org/officeDocument/2006/relationships/hyperlink" Target="https://www.sfc.hk/en/faqs/intermediaries/supervision/Triggering-of-Suitability-Obligations/Triggering-of-Suitability-Obligations" TargetMode="External"/><Relationship Id="rId38"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6" Type="http://schemas.openxmlformats.org/officeDocument/2006/relationships/hyperlink" Target="https://www.sfc.hk/en/faqs/intermediaries/supervision/Compliance-with-Suitability-Obligations/Compliance-with-Suitability-Obligations" TargetMode="External"/><Relationship Id="rId20" Type="http://schemas.openxmlformats.org/officeDocument/2006/relationships/hyperlink" Target="https://www.sfc.hk/-/media/EN/files/ER/PDF/20191106-Position-Paper-and-Appendix-1-to-Position-Paper-Eng.pdf" TargetMode="External"/><Relationship Id="rId29" Type="http://schemas.openxmlformats.org/officeDocument/2006/relationships/hyperlink" Target="https://www.sfc.hk/-/media/EN/assets/components/codes/files-current/web/guidelines/guidelines-on-online-distribution-and-advisory-platforms/guidelines-on-online-distribution-and-advisory-platform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EN/assets/components/codes/files-current/web/codes/code-of-conduct-for-persons-licensed-by-or-registered-with-the-securities-and-futures-commission/Code_of_conduct-Dec-2020_Eng.pdf" TargetMode="External"/><Relationship Id="rId24" Type="http://schemas.openxmlformats.org/officeDocument/2006/relationships/hyperlink" Target="https://www.ia.org.hk/en/legislative_framework/circulars/reg_matters/files/Cir_dd_28.01.2022.pdf" TargetMode="External"/><Relationship Id="rId32" Type="http://schemas.openxmlformats.org/officeDocument/2006/relationships/hyperlink" Target="https://www.sfc.hk/en/faqs/intermediaries/supervision/Compliance-with-Suitability-Obligations/Compliance-with-Suitability-Obligations" TargetMode="External"/><Relationship Id="rId37" Type="http://schemas.openxmlformats.org/officeDocument/2006/relationships/hyperlink" Target="https://www.hkma.gov.hk/media/eng/doc/key-information/guidelines-and-circular/2022/20220128e3.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s.sfc.hk/edistributionWeb/api/circular/openAppendix?lang=EN&amp;refNo=22EC10&amp;appendix=0" TargetMode="External"/><Relationship Id="rId23" Type="http://schemas.openxmlformats.org/officeDocument/2006/relationships/hyperlink" Target="https://www.hkma.gov.hk/media/eng/doc/key-information/guidelines-and-circular/2022/20220128e3.pdf" TargetMode="External"/><Relationship Id="rId28" Type="http://schemas.openxmlformats.org/officeDocument/2006/relationships/hyperlink" Target="https://www.sfc.hk/-/media/EN/assets/components/codes/files-current/web/codes/code-of-conduct-for-persons-licensed-by-or-registered-with-the-securities-and-futures-commission/Code_of_conduct-Dec-2020_Eng.pdf" TargetMode="External"/><Relationship Id="rId36" Type="http://schemas.openxmlformats.org/officeDocument/2006/relationships/hyperlink" Target="https://www.sfc.hk/web/files/IS/publications/VA_Portfolio_Managers_Terms_and_Conditions_(EN).pdf" TargetMode="External"/><Relationship Id="rId10" Type="http://schemas.openxmlformats.org/officeDocument/2006/relationships/hyperlink" Target="https://www.sfc.hk/-/media/EN/files/ER/PDF/20191106-Position-Paper-and-Appendix-1-to-Position-Paper-Eng.pdf" TargetMode="External"/><Relationship Id="rId19" Type="http://schemas.openxmlformats.org/officeDocument/2006/relationships/hyperlink" Target="https://apps.sfc.hk/edistributionWeb/api/circular/openAppendix?lang=EN&amp;refNo=22EC10&amp;appendix=0" TargetMode="External"/><Relationship Id="rId31" Type="http://schemas.openxmlformats.org/officeDocument/2006/relationships/hyperlink" Target="https://www.sfc.hk/en/Rules-and-standards/Suitability-requirement/Non-complex-and-complex-products" TargetMode="External"/><Relationship Id="rId4" Type="http://schemas.openxmlformats.org/officeDocument/2006/relationships/webSettings" Target="webSettings.xml"/><Relationship Id="rId9" Type="http://schemas.openxmlformats.org/officeDocument/2006/relationships/hyperlink" Target="https://apps.sfc.hk/edistributionWeb/gateway/EN/circular/doc?refNo=18EC77" TargetMode="External"/><Relationship Id="rId14" Type="http://schemas.openxmlformats.org/officeDocument/2006/relationships/hyperlink" Target="https://www.sfc.hk/en/Rules-and-standards/Suitability-requirement/Non-complex-and-complex-products" TargetMode="External"/><Relationship Id="rId22" Type="http://schemas.openxmlformats.org/officeDocument/2006/relationships/hyperlink" Target="https://www.sfc.hk/web/files/IS/publications/VA_Portfolio_Managers_Terms_and_Conditions_(EN).pdf" TargetMode="External"/><Relationship Id="rId27" Type="http://schemas.openxmlformats.org/officeDocument/2006/relationships/hyperlink" Target="https://www.sfc.hk/-/media/EN/files/ER/PDF/20191106-Position-Paper-and-Appendix-1-to-Position-Paper-Eng.pdf" TargetMode="External"/><Relationship Id="rId30" Type="http://schemas.openxmlformats.org/officeDocument/2006/relationships/hyperlink" Target="https://apps.sfc.hk/edistributionWeb/api/circular/openAppendix?lang=EN&amp;refNo=22EC10&amp;appendix=0" TargetMode="External"/><Relationship Id="rId35" Type="http://schemas.openxmlformats.org/officeDocument/2006/relationships/hyperlink" Target="https://www.sfc.hk/-/media/EN/files/ER/PDF/20191106-Position-Paper-and-Appendix-1-to-Position-Paper-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2425</Words>
  <Characters>13826</Characters>
  <Application>Microsoft Office Word</Application>
  <DocSecurity>0</DocSecurity>
  <Lines>115</Lines>
  <Paragraphs>32</Paragraphs>
  <ScaleCrop>false</ScaleCrop>
  <Company>Charltons</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2022-06-24T09:36:00Z</dcterms:created>
  <dcterms:modified xsi:type="dcterms:W3CDTF">2022-06-24T09:37:00Z</dcterms:modified>
</cp:coreProperties>
</file>